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A19" w:rsidRPr="00945EDD" w:rsidRDefault="0025302A" w:rsidP="005D0CAC">
      <w:pPr>
        <w:spacing w:after="20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Акт внеплановой проверки </w:t>
      </w:r>
    </w:p>
    <w:p w:rsidR="006B15DC" w:rsidRPr="00945EDD" w:rsidRDefault="005D0CAC" w:rsidP="005D0CAC">
      <w:pPr>
        <w:spacing w:after="20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45EDD">
        <w:rPr>
          <w:rFonts w:ascii="Times New Roman" w:eastAsia="Calibri" w:hAnsi="Times New Roman" w:cs="Times New Roman"/>
          <w:sz w:val="28"/>
          <w:szCs w:val="28"/>
        </w:rPr>
        <w:t>ГБУЗ «</w:t>
      </w:r>
      <w:r w:rsidR="00945EDD" w:rsidRPr="00945EDD">
        <w:rPr>
          <w:rFonts w:ascii="Times New Roman" w:eastAsia="Calibri" w:hAnsi="Times New Roman" w:cs="Times New Roman"/>
          <w:sz w:val="28"/>
          <w:szCs w:val="28"/>
        </w:rPr>
        <w:t>Магаданская областная больница</w:t>
      </w:r>
      <w:r w:rsidR="008E1B47" w:rsidRPr="00945EDD">
        <w:rPr>
          <w:rFonts w:ascii="Times New Roman" w:eastAsia="Calibri" w:hAnsi="Times New Roman" w:cs="Times New Roman"/>
          <w:sz w:val="28"/>
          <w:szCs w:val="28"/>
        </w:rPr>
        <w:t>»</w:t>
      </w:r>
      <w:r w:rsidR="00105A19" w:rsidRPr="00945ED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E1B47" w:rsidRDefault="005A3AC0" w:rsidP="005D0CAC">
      <w:pPr>
        <w:spacing w:after="20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части обоснованности начислений заработной платы по данным, представленным губернатору Магаданской области С.К. Носову за 2019 год</w:t>
      </w:r>
      <w:r w:rsidR="008E1B47" w:rsidRPr="00945ED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B5307" w:rsidRDefault="009B5307" w:rsidP="005D0CAC">
      <w:pPr>
        <w:spacing w:after="20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4EBA" w:rsidRDefault="00884EBA" w:rsidP="00884EBA">
      <w:pPr>
        <w:spacing w:after="20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27.12.2019</w:t>
      </w:r>
    </w:p>
    <w:p w:rsidR="00A003A7" w:rsidRDefault="00A003A7" w:rsidP="0074406A">
      <w:pPr>
        <w:spacing w:after="20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Во исполнение поручения губернатора Магаданской области С.К. Носова по итогам рабочего совещания с министерством здравоохранения и демографической политики Магаданской области на основании приказа директора ТФОМС Магаданской области А.Д. Щербаковой от 18.12.2019 № 123, </w:t>
      </w:r>
      <w:r w:rsidR="005D0CAC" w:rsidRPr="00945EDD">
        <w:rPr>
          <w:rFonts w:ascii="Times New Roman" w:eastAsia="Calibri" w:hAnsi="Times New Roman" w:cs="Times New Roman"/>
          <w:sz w:val="28"/>
          <w:szCs w:val="28"/>
        </w:rPr>
        <w:t xml:space="preserve">контрольно-ревизионным отделом ТФОМС Магаданской области </w:t>
      </w:r>
      <w:r w:rsidRPr="00945EDD">
        <w:rPr>
          <w:rFonts w:ascii="Times New Roman" w:eastAsia="Calibri" w:hAnsi="Times New Roman" w:cs="Times New Roman"/>
          <w:sz w:val="28"/>
          <w:szCs w:val="28"/>
        </w:rPr>
        <w:t xml:space="preserve">проведена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внеплановая проверка </w:t>
      </w:r>
      <w:r w:rsidRPr="00A003A7">
        <w:rPr>
          <w:rFonts w:ascii="Times New Roman" w:eastAsia="Calibri" w:hAnsi="Times New Roman" w:cs="Times New Roman"/>
          <w:sz w:val="28"/>
          <w:szCs w:val="28"/>
        </w:rPr>
        <w:t>в части обоснованности начислений заработной платы по данным, представленным губернатору Магаданской области С.К. Носову за 2019 год.</w:t>
      </w:r>
    </w:p>
    <w:p w:rsidR="000A0B34" w:rsidRDefault="000A0B34" w:rsidP="0074406A">
      <w:pPr>
        <w:spacing w:after="20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2019 году в ГБУЗ «Магаданская областная больница» было проведено 2 проверки: </w:t>
      </w:r>
      <w:r w:rsidR="00D616A4">
        <w:rPr>
          <w:rFonts w:ascii="Times New Roman" w:eastAsia="Calibri" w:hAnsi="Times New Roman" w:cs="Times New Roman"/>
          <w:sz w:val="28"/>
          <w:szCs w:val="28"/>
        </w:rPr>
        <w:t xml:space="preserve">комплексная проверка по использованию средств обязательного медицинского страхования за период 2017-2018 год, </w:t>
      </w:r>
      <w:r>
        <w:rPr>
          <w:rFonts w:ascii="Times New Roman" w:eastAsia="Calibri" w:hAnsi="Times New Roman" w:cs="Times New Roman"/>
          <w:sz w:val="28"/>
          <w:szCs w:val="28"/>
        </w:rPr>
        <w:t>внеплановая по начислению заработной платы за январь-февраль 2019 год</w:t>
      </w:r>
      <w:r w:rsidR="00D616A4"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16A4" w:rsidRPr="009E3CDF" w:rsidRDefault="00D616A4" w:rsidP="00D616A4">
      <w:pPr>
        <w:tabs>
          <w:tab w:val="left" w:pos="0"/>
          <w:tab w:val="left" w:pos="142"/>
        </w:tabs>
        <w:autoSpaceDE w:val="0"/>
        <w:autoSpaceDN w:val="0"/>
        <w:adjustRightInd w:val="0"/>
        <w:spacing w:after="0" w:line="276" w:lineRule="auto"/>
        <w:ind w:firstLine="284"/>
        <w:contextualSpacing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C007C0">
        <w:rPr>
          <w:rFonts w:ascii="Times New Roman" w:eastAsia="Calibri" w:hAnsi="Times New Roman" w:cs="Times New Roman"/>
          <w:b/>
          <w:sz w:val="28"/>
          <w:szCs w:val="28"/>
        </w:rPr>
        <w:t>По итогам комплексной проверки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за 2017-2018 год ГБУЗ «Магаданская областная больница» выявлено </w:t>
      </w:r>
      <w:r w:rsidRPr="00B21697">
        <w:rPr>
          <w:rFonts w:ascii="Times New Roman" w:eastAsia="Calibri" w:hAnsi="Times New Roman" w:cs="Calibri"/>
          <w:sz w:val="28"/>
          <w:szCs w:val="28"/>
        </w:rPr>
        <w:t xml:space="preserve">нарушение пункта 1.7 Постановления правительства Магаданской области </w:t>
      </w:r>
      <w:r w:rsidRPr="00B21697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от 27.06.201</w:t>
      </w:r>
      <w:r w:rsidRPr="009E3CDF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4 № 535-пп «Об утверждении примерного положения об оплате труда работников областных государственных учреждений, подведомственных министерству здравоохранения и демографической политики Магаданской области»</w:t>
      </w:r>
      <w:r w:rsidRPr="009E3CDF">
        <w:rPr>
          <w:rFonts w:ascii="Times New Roman" w:eastAsia="Calibri" w:hAnsi="Times New Roman" w:cs="Calibri"/>
          <w:sz w:val="28"/>
          <w:szCs w:val="28"/>
        </w:rPr>
        <w:t xml:space="preserve"> </w:t>
      </w:r>
      <w:r w:rsidRPr="00B21697">
        <w:rPr>
          <w:rFonts w:ascii="Times New Roman" w:eastAsia="Calibri" w:hAnsi="Times New Roman" w:cs="Calibri"/>
          <w:sz w:val="28"/>
          <w:szCs w:val="28"/>
        </w:rPr>
        <w:t>в части дифференциации окладов</w:t>
      </w:r>
      <w:r>
        <w:rPr>
          <w:rFonts w:ascii="Times New Roman" w:eastAsia="Calibri" w:hAnsi="Times New Roman" w:cs="Calibri"/>
          <w:sz w:val="28"/>
          <w:szCs w:val="28"/>
        </w:rPr>
        <w:t>-</w:t>
      </w:r>
      <w:r w:rsidRPr="009E3CDF">
        <w:rPr>
          <w:rFonts w:ascii="Times New Roman" w:eastAsia="Calibri" w:hAnsi="Times New Roman" w:cs="Calibri"/>
          <w:sz w:val="28"/>
          <w:szCs w:val="28"/>
        </w:rPr>
        <w:t xml:space="preserve"> установлены разные оклады в одной квалификационной категории.</w:t>
      </w:r>
    </w:p>
    <w:p w:rsidR="00D616A4" w:rsidRDefault="00D616A4" w:rsidP="00D616A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Calibri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</w:rPr>
        <w:t>И</w:t>
      </w:r>
      <w:r w:rsidRPr="00B21697">
        <w:rPr>
          <w:rFonts w:ascii="Times New Roman" w:eastAsia="Calibri" w:hAnsi="Times New Roman" w:cs="Calibri"/>
          <w:sz w:val="28"/>
          <w:szCs w:val="28"/>
        </w:rPr>
        <w:t>зменение дифференциации предполагает предварительное уточнение сложности труда по должностям, которое должно быть утверждено локально</w:t>
      </w:r>
      <w:r w:rsidR="00C2084D">
        <w:rPr>
          <w:rFonts w:ascii="Times New Roman" w:eastAsia="Calibri" w:hAnsi="Times New Roman" w:cs="Calibri"/>
          <w:sz w:val="28"/>
          <w:szCs w:val="28"/>
        </w:rPr>
        <w:t>-</w:t>
      </w:r>
      <w:bookmarkStart w:id="0" w:name="_GoBack"/>
      <w:bookmarkEnd w:id="0"/>
      <w:r w:rsidRPr="00B21697">
        <w:rPr>
          <w:rFonts w:ascii="Times New Roman" w:eastAsia="Calibri" w:hAnsi="Times New Roman" w:cs="Calibri"/>
          <w:sz w:val="28"/>
          <w:szCs w:val="28"/>
        </w:rPr>
        <w:t xml:space="preserve"> нормативными актами</w:t>
      </w:r>
      <w:r>
        <w:rPr>
          <w:rFonts w:ascii="Times New Roman" w:eastAsia="Calibri" w:hAnsi="Times New Roman" w:cs="Calibri"/>
          <w:sz w:val="28"/>
          <w:szCs w:val="28"/>
        </w:rPr>
        <w:t xml:space="preserve"> Учреждения, что отсутствует в ГБУЗ «Магаданская областная больница».</w:t>
      </w:r>
    </w:p>
    <w:p w:rsidR="00D616A4" w:rsidRPr="00C007C0" w:rsidRDefault="00D616A4" w:rsidP="00D616A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</w:rPr>
        <w:t>Требование ТФОМС Магаданской области по устранению нарушения не выполнено.</w:t>
      </w:r>
    </w:p>
    <w:p w:rsidR="00D616A4" w:rsidRDefault="00D616A4" w:rsidP="00D616A4">
      <w:pPr>
        <w:spacing w:after="20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723C">
        <w:rPr>
          <w:rFonts w:ascii="Times New Roman" w:eastAsia="Calibri" w:hAnsi="Times New Roman" w:cs="Times New Roman"/>
          <w:sz w:val="28"/>
          <w:szCs w:val="28"/>
        </w:rPr>
        <w:t>На 2019 год ГБУЗ «Магаданская областная больница» (далее – Учреждение)</w:t>
      </w:r>
      <w:r w:rsidRPr="004357CE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7A43FB">
        <w:rPr>
          <w:rFonts w:ascii="Times New Roman" w:eastAsia="Calibri" w:hAnsi="Times New Roman" w:cs="Times New Roman"/>
          <w:sz w:val="28"/>
          <w:szCs w:val="28"/>
        </w:rPr>
        <w:t xml:space="preserve">утверждено денежных средств в сумме 1 </w:t>
      </w:r>
      <w:r>
        <w:rPr>
          <w:rFonts w:ascii="Times New Roman" w:eastAsia="Calibri" w:hAnsi="Times New Roman" w:cs="Times New Roman"/>
          <w:sz w:val="28"/>
          <w:szCs w:val="28"/>
        </w:rPr>
        <w:t>368 436,71</w:t>
      </w:r>
      <w:r w:rsidRPr="007A43FB">
        <w:rPr>
          <w:rFonts w:ascii="Times New Roman" w:eastAsia="Calibri" w:hAnsi="Times New Roman" w:cs="Times New Roman"/>
          <w:sz w:val="28"/>
          <w:szCs w:val="28"/>
        </w:rPr>
        <w:t xml:space="preserve"> тыс. руб., в том числе по </w:t>
      </w:r>
      <w:r w:rsidRPr="006E723C">
        <w:rPr>
          <w:rFonts w:ascii="Times New Roman" w:eastAsia="Calibri" w:hAnsi="Times New Roman" w:cs="Times New Roman"/>
          <w:sz w:val="28"/>
          <w:szCs w:val="28"/>
        </w:rPr>
        <w:t xml:space="preserve">КОСГУ 211 «Заработная плата» утверждено денежных средств в размере </w:t>
      </w:r>
      <w:r>
        <w:rPr>
          <w:rFonts w:ascii="Times New Roman" w:eastAsia="Calibri" w:hAnsi="Times New Roman" w:cs="Times New Roman"/>
          <w:sz w:val="28"/>
          <w:szCs w:val="28"/>
        </w:rPr>
        <w:t>829 717,4</w:t>
      </w:r>
      <w:r w:rsidRPr="006E723C">
        <w:rPr>
          <w:rFonts w:ascii="Times New Roman" w:eastAsia="Calibri" w:hAnsi="Times New Roman" w:cs="Times New Roman"/>
          <w:sz w:val="28"/>
          <w:szCs w:val="28"/>
        </w:rPr>
        <w:t xml:space="preserve"> тыс. руб. или 6</w:t>
      </w:r>
      <w:r>
        <w:rPr>
          <w:rFonts w:ascii="Times New Roman" w:eastAsia="Calibri" w:hAnsi="Times New Roman" w:cs="Times New Roman"/>
          <w:sz w:val="28"/>
          <w:szCs w:val="28"/>
        </w:rPr>
        <w:t>0</w:t>
      </w:r>
      <w:r w:rsidRPr="006E723C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6E723C">
        <w:rPr>
          <w:rFonts w:ascii="Times New Roman" w:eastAsia="Calibri" w:hAnsi="Times New Roman" w:cs="Times New Roman"/>
          <w:sz w:val="28"/>
          <w:szCs w:val="28"/>
        </w:rPr>
        <w:t xml:space="preserve">% от общей суммы расходов, утвержденных Учреждению на 2019 год. </w:t>
      </w:r>
    </w:p>
    <w:p w:rsidR="006B393C" w:rsidRPr="008F3FB8" w:rsidRDefault="00FD607A" w:rsidP="0074406A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16A4">
        <w:rPr>
          <w:rFonts w:ascii="Times New Roman" w:eastAsia="Calibri" w:hAnsi="Times New Roman" w:cs="Times New Roman"/>
          <w:b/>
          <w:sz w:val="28"/>
          <w:szCs w:val="28"/>
        </w:rPr>
        <w:t>По итогам проверки ТФОМС Магаданской области заработной платы сотрудников ГБУЗ «</w:t>
      </w:r>
      <w:r w:rsidR="006B393C" w:rsidRPr="00D616A4">
        <w:rPr>
          <w:rFonts w:ascii="Times New Roman" w:eastAsia="Calibri" w:hAnsi="Times New Roman" w:cs="Times New Roman"/>
          <w:b/>
          <w:sz w:val="28"/>
          <w:szCs w:val="28"/>
        </w:rPr>
        <w:t xml:space="preserve">Магаданская областная больница» за январь </w:t>
      </w:r>
      <w:r w:rsidR="006B393C" w:rsidRPr="00D616A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–февраль 2019 года было установлено</w:t>
      </w:r>
      <w:r w:rsidR="006B393C">
        <w:rPr>
          <w:rFonts w:ascii="Times New Roman" w:eastAsia="Calibri" w:hAnsi="Times New Roman" w:cs="Times New Roman"/>
          <w:sz w:val="28"/>
          <w:szCs w:val="28"/>
        </w:rPr>
        <w:t>, что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B393C" w:rsidRPr="001507D9">
        <w:rPr>
          <w:rFonts w:ascii="Times New Roman" w:eastAsia="Times New Roman" w:hAnsi="Times New Roman" w:cs="Times New Roman"/>
          <w:sz w:val="28"/>
          <w:szCs w:val="28"/>
        </w:rPr>
        <w:t xml:space="preserve">укомплектованность кадрами в Учреждении составила 66%, наименее укомплектованной категорией персонала является врачебный персонал (56%), </w:t>
      </w:r>
      <w:r w:rsidR="006B393C" w:rsidRPr="000B250F">
        <w:rPr>
          <w:rFonts w:ascii="Times New Roman" w:eastAsia="Times New Roman" w:hAnsi="Times New Roman" w:cs="Times New Roman"/>
          <w:sz w:val="28"/>
          <w:szCs w:val="28"/>
        </w:rPr>
        <w:t xml:space="preserve">наиболее укомплектованной категорией является административно-управленческий и прочий персонал Учреждения (100,00%). </w:t>
      </w:r>
      <w:r w:rsidR="00C47D32">
        <w:rPr>
          <w:rFonts w:ascii="Times New Roman" w:eastAsia="Times New Roman" w:hAnsi="Times New Roman" w:cs="Times New Roman"/>
          <w:sz w:val="28"/>
          <w:szCs w:val="28"/>
        </w:rPr>
        <w:t>Несмотря на кадровую не</w:t>
      </w:r>
      <w:r w:rsidR="006B393C" w:rsidRPr="008F3FB8">
        <w:rPr>
          <w:rFonts w:ascii="Times New Roman" w:eastAsia="Times New Roman" w:hAnsi="Times New Roman" w:cs="Times New Roman"/>
          <w:sz w:val="28"/>
          <w:szCs w:val="28"/>
        </w:rPr>
        <w:t>укомплектованность Учреждения, штатная численность замещена в проверяемом периоде на 99,7% (1</w:t>
      </w:r>
      <w:r w:rsidR="006B393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6B393C" w:rsidRPr="008F3FB8">
        <w:rPr>
          <w:rFonts w:ascii="Times New Roman" w:eastAsia="Times New Roman" w:hAnsi="Times New Roman" w:cs="Times New Roman"/>
          <w:sz w:val="28"/>
          <w:szCs w:val="28"/>
        </w:rPr>
        <w:t>470,75*100/1</w:t>
      </w:r>
      <w:r w:rsidR="006B39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B393C" w:rsidRPr="008F3FB8">
        <w:rPr>
          <w:rFonts w:ascii="Times New Roman" w:eastAsia="Times New Roman" w:hAnsi="Times New Roman" w:cs="Times New Roman"/>
          <w:sz w:val="28"/>
          <w:szCs w:val="28"/>
        </w:rPr>
        <w:t>475,25). Ставки в количестве 1</w:t>
      </w:r>
      <w:r w:rsidR="006B393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6B393C" w:rsidRPr="008F3FB8">
        <w:rPr>
          <w:rFonts w:ascii="Times New Roman" w:eastAsia="Times New Roman" w:hAnsi="Times New Roman" w:cs="Times New Roman"/>
          <w:sz w:val="28"/>
          <w:szCs w:val="28"/>
        </w:rPr>
        <w:t>47</w:t>
      </w:r>
      <w:r w:rsidR="006B393C">
        <w:rPr>
          <w:rFonts w:ascii="Times New Roman" w:eastAsia="Times New Roman" w:hAnsi="Times New Roman" w:cs="Times New Roman"/>
          <w:sz w:val="28"/>
          <w:szCs w:val="28"/>
        </w:rPr>
        <w:t>0</w:t>
      </w:r>
      <w:r w:rsidR="006B393C" w:rsidRPr="008F3FB8">
        <w:rPr>
          <w:rFonts w:ascii="Times New Roman" w:eastAsia="Times New Roman" w:hAnsi="Times New Roman" w:cs="Times New Roman"/>
          <w:sz w:val="28"/>
          <w:szCs w:val="28"/>
        </w:rPr>
        <w:t>,</w:t>
      </w:r>
      <w:r w:rsidR="006B393C">
        <w:rPr>
          <w:rFonts w:ascii="Times New Roman" w:eastAsia="Times New Roman" w:hAnsi="Times New Roman" w:cs="Times New Roman"/>
          <w:sz w:val="28"/>
          <w:szCs w:val="28"/>
        </w:rPr>
        <w:t>7</w:t>
      </w:r>
      <w:r w:rsidR="006B393C" w:rsidRPr="008F3FB8">
        <w:rPr>
          <w:rFonts w:ascii="Times New Roman" w:eastAsia="Times New Roman" w:hAnsi="Times New Roman" w:cs="Times New Roman"/>
          <w:sz w:val="28"/>
          <w:szCs w:val="28"/>
        </w:rPr>
        <w:t xml:space="preserve">5 единиц разрабатываются основными работниками путем совмещения профессий (должностей), а также на условиях внутреннего </w:t>
      </w:r>
      <w:r w:rsidR="006B393C">
        <w:rPr>
          <w:rFonts w:ascii="Times New Roman" w:eastAsia="Times New Roman" w:hAnsi="Times New Roman" w:cs="Times New Roman"/>
          <w:sz w:val="28"/>
          <w:szCs w:val="28"/>
        </w:rPr>
        <w:t xml:space="preserve">и внешнего </w:t>
      </w:r>
      <w:r w:rsidR="006B393C" w:rsidRPr="008F3FB8">
        <w:rPr>
          <w:rFonts w:ascii="Times New Roman" w:eastAsia="Times New Roman" w:hAnsi="Times New Roman" w:cs="Times New Roman"/>
          <w:sz w:val="28"/>
          <w:szCs w:val="28"/>
        </w:rPr>
        <w:t>совместительства.</w:t>
      </w:r>
    </w:p>
    <w:p w:rsidR="005D0CAC" w:rsidRPr="008B4D57" w:rsidRDefault="005D0CAC" w:rsidP="006176E8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4D57">
        <w:rPr>
          <w:rFonts w:ascii="Times New Roman" w:eastAsia="Times New Roman" w:hAnsi="Times New Roman" w:cs="Times New Roman"/>
          <w:sz w:val="28"/>
          <w:szCs w:val="28"/>
        </w:rPr>
        <w:t>Штатным расписани</w:t>
      </w:r>
      <w:r w:rsidR="00706C8A" w:rsidRPr="008B4D57">
        <w:rPr>
          <w:rFonts w:ascii="Times New Roman" w:eastAsia="Times New Roman" w:hAnsi="Times New Roman" w:cs="Times New Roman"/>
          <w:sz w:val="28"/>
          <w:szCs w:val="28"/>
        </w:rPr>
        <w:t xml:space="preserve">ем на 2019 год утверждено </w:t>
      </w:r>
      <w:r w:rsidR="008B4D57" w:rsidRPr="008B4D57">
        <w:rPr>
          <w:rFonts w:ascii="Times New Roman" w:eastAsia="Times New Roman" w:hAnsi="Times New Roman" w:cs="Times New Roman"/>
          <w:sz w:val="28"/>
          <w:szCs w:val="28"/>
        </w:rPr>
        <w:t>1 475,25</w:t>
      </w:r>
      <w:r w:rsidRPr="008B4D57">
        <w:rPr>
          <w:rFonts w:ascii="Times New Roman" w:eastAsia="Times New Roman" w:hAnsi="Times New Roman" w:cs="Times New Roman"/>
          <w:sz w:val="28"/>
          <w:szCs w:val="28"/>
        </w:rPr>
        <w:t xml:space="preserve"> штатных единиц</w:t>
      </w:r>
      <w:r w:rsidR="00C75428" w:rsidRPr="008B4D5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8641F" w:rsidRDefault="0008641F" w:rsidP="00527906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2D15">
        <w:rPr>
          <w:rFonts w:ascii="Times New Roman" w:eastAsia="Calibri" w:hAnsi="Times New Roman" w:cs="Times New Roman"/>
          <w:sz w:val="28"/>
          <w:szCs w:val="28"/>
        </w:rPr>
        <w:t xml:space="preserve">Проверкой </w:t>
      </w:r>
      <w:r w:rsidR="000A0B34">
        <w:rPr>
          <w:rFonts w:ascii="Times New Roman" w:eastAsia="Calibri" w:hAnsi="Times New Roman" w:cs="Times New Roman"/>
          <w:sz w:val="28"/>
          <w:szCs w:val="28"/>
        </w:rPr>
        <w:t xml:space="preserve">начисления заработной платы </w:t>
      </w:r>
      <w:r w:rsidR="006B393C">
        <w:rPr>
          <w:rFonts w:ascii="Times New Roman" w:eastAsia="Calibri" w:hAnsi="Times New Roman" w:cs="Times New Roman"/>
          <w:sz w:val="28"/>
          <w:szCs w:val="28"/>
        </w:rPr>
        <w:t>за январь-февраль 2019 года установлено, что р</w:t>
      </w:r>
      <w:r>
        <w:rPr>
          <w:rFonts w:ascii="Times New Roman" w:hAnsi="Times New Roman" w:cs="Times New Roman"/>
          <w:sz w:val="28"/>
          <w:szCs w:val="28"/>
        </w:rPr>
        <w:t xml:space="preserve">азмер заработной платы работников Учреждения по одноименным должностям </w:t>
      </w:r>
      <w:r w:rsidRPr="00932D15">
        <w:rPr>
          <w:rFonts w:ascii="Times New Roman" w:eastAsia="Calibri" w:hAnsi="Times New Roman" w:cs="Times New Roman"/>
          <w:sz w:val="28"/>
          <w:szCs w:val="28"/>
        </w:rPr>
        <w:t>обусловлена разным количеством отработанных часов в праздничные дни и в ночное время, осуществлением дополнительной работы по другой профессии (должности) или по основной должности без освобождения от работы, определенной трудовым договором, а также выполнением работы на условиях внутреннего совместительства.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</w:p>
    <w:p w:rsidR="0008641F" w:rsidRDefault="0008641F" w:rsidP="00527906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размер начисленной заработной платы как внутри отдельной категории, так и п</w:t>
      </w:r>
      <w:r w:rsidR="006B393C">
        <w:rPr>
          <w:rFonts w:ascii="Times New Roman" w:hAnsi="Times New Roman" w:cs="Times New Roman"/>
          <w:sz w:val="28"/>
          <w:szCs w:val="28"/>
        </w:rPr>
        <w:t>о одноименным должностям отличался</w:t>
      </w:r>
      <w:r>
        <w:rPr>
          <w:rFonts w:ascii="Times New Roman" w:hAnsi="Times New Roman" w:cs="Times New Roman"/>
          <w:sz w:val="28"/>
          <w:szCs w:val="28"/>
        </w:rPr>
        <w:t xml:space="preserve"> друг от друга в связи с наличием либо отсутствием у работников следующих доплат:</w:t>
      </w:r>
    </w:p>
    <w:p w:rsidR="0008641F" w:rsidRDefault="0008641F" w:rsidP="00527906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повышающего коэффициента за стаж работы в учреждениях здравоохранения (вновь прибывшим работникам, не осуществляющим до приема в Учреждение работу в учреждениях здравоохранения доплата не устанавливается);</w:t>
      </w:r>
    </w:p>
    <w:p w:rsidR="0008641F" w:rsidRDefault="0008641F" w:rsidP="00527906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повышающего коэффициента за квалификационную категорию;</w:t>
      </w:r>
    </w:p>
    <w:p w:rsidR="0008641F" w:rsidRDefault="0008641F" w:rsidP="00527906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доплаты за осуществление дополнительной работы в течение установленной продолжительности рабочего дня (смены) наряду с работой, определенной трудовым договором и пр.</w:t>
      </w:r>
    </w:p>
    <w:p w:rsidR="00920B94" w:rsidRDefault="00920B94" w:rsidP="00527906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7103">
        <w:rPr>
          <w:rFonts w:ascii="Times New Roman" w:eastAsia="Calibri" w:hAnsi="Times New Roman" w:cs="Times New Roman"/>
          <w:sz w:val="28"/>
          <w:szCs w:val="28"/>
        </w:rPr>
        <w:t xml:space="preserve">Таким образом, разница в начислениях по </w:t>
      </w:r>
      <w:r w:rsidR="00E64658" w:rsidRPr="00287103">
        <w:rPr>
          <w:rFonts w:ascii="Times New Roman" w:eastAsia="Calibri" w:hAnsi="Times New Roman" w:cs="Times New Roman"/>
          <w:sz w:val="28"/>
          <w:szCs w:val="28"/>
        </w:rPr>
        <w:t>всем категориям</w:t>
      </w:r>
      <w:r w:rsidR="00711A29">
        <w:rPr>
          <w:rFonts w:ascii="Times New Roman" w:eastAsia="Calibri" w:hAnsi="Times New Roman" w:cs="Times New Roman"/>
          <w:sz w:val="28"/>
          <w:szCs w:val="28"/>
        </w:rPr>
        <w:t xml:space="preserve"> возникала</w:t>
      </w:r>
      <w:r w:rsidRPr="00287103">
        <w:rPr>
          <w:rFonts w:ascii="Times New Roman" w:eastAsia="Calibri" w:hAnsi="Times New Roman" w:cs="Times New Roman"/>
          <w:sz w:val="28"/>
          <w:szCs w:val="28"/>
        </w:rPr>
        <w:t xml:space="preserve"> за счет выполненных объемов, работы на условиях внутреннего совместительства на 1,5-2 ставки, начисления за </w:t>
      </w:r>
      <w:r w:rsidR="00E64658" w:rsidRPr="00287103">
        <w:rPr>
          <w:rFonts w:ascii="Times New Roman" w:eastAsia="Calibri" w:hAnsi="Times New Roman" w:cs="Times New Roman"/>
          <w:sz w:val="28"/>
          <w:szCs w:val="28"/>
        </w:rPr>
        <w:t>увеличение объема, количестве компенсационных выплат за выслугу, категорию, ночные и праздничные</w:t>
      </w:r>
      <w:r w:rsidRPr="00287103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8076B7" w:rsidRPr="00287103" w:rsidRDefault="008076B7" w:rsidP="00527906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Также проверкой установлено, что премия, согласно Положения о премировании ГБУЗ «Магаданская областная больница», начисляется на месяц позже, положением не предусмотрено учитывать фактически отработанное сотрудником время, что не позволяет объективно оценить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степень стимулирование его труда. Имеет место начисление одинакового размера премии у сотрудников, отработавших разное количество рабочих дней.</w:t>
      </w:r>
    </w:p>
    <w:p w:rsidR="005D0CAC" w:rsidRDefault="00711A29" w:rsidP="00527906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выводах по итогам проверки ТФОМС Магаданской области было рекомендовано</w:t>
      </w:r>
      <w:r w:rsidR="005D0CAC" w:rsidRPr="00DE5863">
        <w:rPr>
          <w:rFonts w:ascii="Times New Roman" w:eastAsia="Calibri" w:hAnsi="Times New Roman" w:cs="Times New Roman"/>
          <w:sz w:val="28"/>
          <w:szCs w:val="28"/>
        </w:rPr>
        <w:t xml:space="preserve"> при установлении заработной платы придерживаться структуры заработной платы, установленной в Единых рекомендациях по установлению систем оплаты труда работников государственных и муниципальных учреждений на 2019 год, утвержденных Российской трехсторонней комиссией по регулированию социально-трудовых отношений 25.12.2018г. (далее «Единые рекомендации»), по указанному и медицинскому персоналу, а именно чтобы без учета выплат компенсационного характера за работу в местностях с особыми климатическими условиями 55 - 60 процентов заработной платы направлялось на выплаты по окладам, 30 процентов структуры заработной платы составляли стимулирующие выплаты преимущественно за достижение конкретных результатов деятельности по показателям и критериям эффективности, повышение квалификации, 10 - 15 процентов структуры заработной платы составляли выплаты компенсационного характера в зависимости от условий труда работников.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5D0CAC" w:rsidRPr="00DE5863">
        <w:rPr>
          <w:rFonts w:ascii="Times New Roman" w:eastAsia="Calibri" w:hAnsi="Times New Roman" w:cs="Times New Roman"/>
          <w:sz w:val="28"/>
          <w:szCs w:val="28"/>
        </w:rPr>
        <w:t>ривести оплату труда в соответствие «Единым рекомендациям» и откорректировать соотношение заработной платы по одноименным должностям.</w:t>
      </w:r>
    </w:p>
    <w:p w:rsidR="006E61F0" w:rsidRPr="00A35558" w:rsidRDefault="006E61F0" w:rsidP="00527906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35558">
        <w:rPr>
          <w:rFonts w:ascii="Times New Roman" w:eastAsia="Calibri" w:hAnsi="Times New Roman" w:cs="Times New Roman"/>
          <w:b/>
          <w:sz w:val="28"/>
          <w:szCs w:val="28"/>
        </w:rPr>
        <w:t xml:space="preserve">По итогам </w:t>
      </w:r>
      <w:r w:rsidR="00A7594E">
        <w:rPr>
          <w:rFonts w:ascii="Times New Roman" w:eastAsia="Calibri" w:hAnsi="Times New Roman" w:cs="Times New Roman"/>
          <w:b/>
          <w:sz w:val="28"/>
          <w:szCs w:val="28"/>
        </w:rPr>
        <w:t xml:space="preserve">внеплановой </w:t>
      </w:r>
      <w:r w:rsidRPr="00A35558">
        <w:rPr>
          <w:rFonts w:ascii="Times New Roman" w:eastAsia="Calibri" w:hAnsi="Times New Roman" w:cs="Times New Roman"/>
          <w:b/>
          <w:sz w:val="28"/>
          <w:szCs w:val="28"/>
        </w:rPr>
        <w:t>проверки, проведенной с 19 по 25 декабря 2019 года за период с 01.01.2019 по 30.11.2019 года установлено:</w:t>
      </w:r>
    </w:p>
    <w:p w:rsidR="003D38D4" w:rsidRDefault="00CE20BC" w:rsidP="00CE20BC">
      <w:pPr>
        <w:pStyle w:val="a3"/>
        <w:numPr>
          <w:ilvl w:val="0"/>
          <w:numId w:val="4"/>
        </w:numPr>
        <w:spacing w:after="0" w:line="276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Проверка начислений заработной платы сотрудников ГБУЗ «Магаданская областная больница», указанных в информации по среднемесячной заработной плате учреждений, подведомственных министерству здравоохранения и демографической политики Магаданской области проведена сплошным способом за весь период с января по ноябрь 2019 года. </w:t>
      </w:r>
    </w:p>
    <w:p w:rsidR="00715410" w:rsidRPr="00715410" w:rsidRDefault="00CE20BC" w:rsidP="00715410">
      <w:pPr>
        <w:pStyle w:val="a3"/>
        <w:numPr>
          <w:ilvl w:val="0"/>
          <w:numId w:val="4"/>
        </w:numPr>
        <w:spacing w:after="0" w:line="276" w:lineRule="auto"/>
        <w:ind w:left="0" w:firstLine="28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 данным проверки, информация, представленная ГБУЗ «Магаданская областная больница» недостоверна по всем сотрудникам, выявлены большие расхождения с фактически начисленной заработной платой и расчетом среднего заработка за проверяемый период. </w:t>
      </w:r>
    </w:p>
    <w:p w:rsidR="00207F8F" w:rsidRPr="00207F8F" w:rsidRDefault="00CE20BC" w:rsidP="00B21697">
      <w:pPr>
        <w:pStyle w:val="a3"/>
        <w:numPr>
          <w:ilvl w:val="0"/>
          <w:numId w:val="4"/>
        </w:numPr>
        <w:spacing w:after="0" w:line="276" w:lineRule="auto"/>
        <w:ind w:left="0" w:firstLine="28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информации </w:t>
      </w:r>
      <w:r w:rsidR="00715410">
        <w:rPr>
          <w:rFonts w:ascii="Times New Roman" w:eastAsia="Calibri" w:hAnsi="Times New Roman" w:cs="Times New Roman"/>
          <w:sz w:val="28"/>
          <w:szCs w:val="28"/>
        </w:rPr>
        <w:t xml:space="preserve">по минимальной заработной плате </w:t>
      </w:r>
      <w:r>
        <w:rPr>
          <w:rFonts w:ascii="Times New Roman" w:eastAsia="Calibri" w:hAnsi="Times New Roman" w:cs="Times New Roman"/>
          <w:sz w:val="28"/>
          <w:szCs w:val="28"/>
        </w:rPr>
        <w:t>представлены сведения по сотрудникам, отработавшим неполный баланс рабочего времени от одного до нескольких дней в месяце, работавшим на 0,5 ставки</w:t>
      </w:r>
      <w:r w:rsidR="00B40D61">
        <w:rPr>
          <w:rFonts w:ascii="Times New Roman" w:eastAsia="Calibri" w:hAnsi="Times New Roman" w:cs="Times New Roman"/>
          <w:sz w:val="28"/>
          <w:szCs w:val="28"/>
        </w:rPr>
        <w:t>. Следовательно, необъективно отр</w:t>
      </w:r>
      <w:r w:rsidR="007A5AC1">
        <w:rPr>
          <w:rFonts w:ascii="Times New Roman" w:eastAsia="Calibri" w:hAnsi="Times New Roman" w:cs="Times New Roman"/>
          <w:sz w:val="28"/>
          <w:szCs w:val="28"/>
        </w:rPr>
        <w:t>ажены начисления</w:t>
      </w:r>
      <w:r w:rsidR="00B40D61">
        <w:rPr>
          <w:rFonts w:ascii="Times New Roman" w:eastAsia="Calibri" w:hAnsi="Times New Roman" w:cs="Times New Roman"/>
          <w:sz w:val="28"/>
          <w:szCs w:val="28"/>
        </w:rPr>
        <w:t xml:space="preserve"> как минимальная заработная плата.</w:t>
      </w:r>
      <w:r w:rsidR="007A5AC1">
        <w:rPr>
          <w:rFonts w:ascii="Times New Roman" w:eastAsia="Calibri" w:hAnsi="Times New Roman" w:cs="Times New Roman"/>
          <w:sz w:val="28"/>
          <w:szCs w:val="28"/>
        </w:rPr>
        <w:t xml:space="preserve"> Также, в сведениях по минимальной заработной плате по всем категориям медицинского персонала: врачи, средний и младший </w:t>
      </w:r>
      <w:r w:rsidR="007A5AC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медицинский персонал, отработавшим полный баланс рабочего времени </w:t>
      </w:r>
      <w:r w:rsidR="00715410">
        <w:rPr>
          <w:rFonts w:ascii="Times New Roman" w:eastAsia="Calibri" w:hAnsi="Times New Roman" w:cs="Times New Roman"/>
          <w:sz w:val="28"/>
          <w:szCs w:val="28"/>
        </w:rPr>
        <w:t>проверкой выявлены значительные расхождения, не соответствующие фактичес</w:t>
      </w:r>
      <w:r w:rsidR="00B21697">
        <w:rPr>
          <w:rFonts w:ascii="Times New Roman" w:eastAsia="Calibri" w:hAnsi="Times New Roman" w:cs="Times New Roman"/>
          <w:sz w:val="28"/>
          <w:szCs w:val="28"/>
        </w:rPr>
        <w:t>ки начисленной заработной плате.</w:t>
      </w:r>
      <w:r w:rsidR="0071541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32154" w:rsidRPr="00A7594E" w:rsidRDefault="00F50AB8" w:rsidP="00207F8F">
      <w:pPr>
        <w:pStyle w:val="a3"/>
        <w:spacing w:after="0" w:line="276" w:lineRule="auto"/>
        <w:ind w:left="28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7594E">
        <w:rPr>
          <w:rFonts w:ascii="Times New Roman" w:eastAsia="Calibri" w:hAnsi="Times New Roman" w:cs="Times New Roman"/>
          <w:b/>
          <w:sz w:val="28"/>
          <w:szCs w:val="28"/>
        </w:rPr>
        <w:t xml:space="preserve">Диапазон </w:t>
      </w:r>
      <w:r w:rsidR="00F42E0A" w:rsidRPr="00A7594E">
        <w:rPr>
          <w:rFonts w:ascii="Times New Roman" w:eastAsia="Calibri" w:hAnsi="Times New Roman" w:cs="Times New Roman"/>
          <w:b/>
          <w:sz w:val="28"/>
          <w:szCs w:val="28"/>
        </w:rPr>
        <w:t xml:space="preserve">минимальной </w:t>
      </w:r>
      <w:r w:rsidRPr="00A7594E">
        <w:rPr>
          <w:rFonts w:ascii="Times New Roman" w:eastAsia="Calibri" w:hAnsi="Times New Roman" w:cs="Times New Roman"/>
          <w:b/>
          <w:sz w:val="28"/>
          <w:szCs w:val="28"/>
        </w:rPr>
        <w:t>средней заработной платы</w:t>
      </w:r>
      <w:r w:rsidR="00F42E0A" w:rsidRPr="00A7594E">
        <w:rPr>
          <w:rFonts w:ascii="Times New Roman" w:eastAsia="Calibri" w:hAnsi="Times New Roman" w:cs="Times New Roman"/>
          <w:b/>
          <w:sz w:val="28"/>
          <w:szCs w:val="28"/>
        </w:rPr>
        <w:t xml:space="preserve"> по категориям</w:t>
      </w:r>
      <w:r w:rsidR="00232154" w:rsidRPr="00A7594E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="00F42E0A" w:rsidRPr="00A7594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F42E0A" w:rsidRDefault="00F42E0A" w:rsidP="00232154">
      <w:pPr>
        <w:pStyle w:val="a3"/>
        <w:spacing w:after="0" w:line="276" w:lineRule="auto"/>
        <w:ind w:left="284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тыс. руб.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2567"/>
        <w:gridCol w:w="2458"/>
        <w:gridCol w:w="2458"/>
        <w:gridCol w:w="2088"/>
      </w:tblGrid>
      <w:tr w:rsidR="00207F8F" w:rsidTr="00207F8F">
        <w:trPr>
          <w:jc w:val="center"/>
        </w:trPr>
        <w:tc>
          <w:tcPr>
            <w:tcW w:w="2567" w:type="dxa"/>
            <w:vAlign w:val="center"/>
          </w:tcPr>
          <w:p w:rsidR="00207F8F" w:rsidRPr="00207F8F" w:rsidRDefault="00207F8F" w:rsidP="00715410">
            <w:pPr>
              <w:pStyle w:val="a3"/>
              <w:spacing w:line="276" w:lineRule="auto"/>
              <w:ind w:left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07F8F">
              <w:rPr>
                <w:rFonts w:ascii="Times New Roman" w:eastAsia="Calibri" w:hAnsi="Times New Roman" w:cs="Times New Roman"/>
                <w:sz w:val="26"/>
                <w:szCs w:val="26"/>
              </w:rPr>
              <w:t>Категория персонала</w:t>
            </w:r>
          </w:p>
        </w:tc>
        <w:tc>
          <w:tcPr>
            <w:tcW w:w="2458" w:type="dxa"/>
            <w:vAlign w:val="center"/>
          </w:tcPr>
          <w:p w:rsidR="00207F8F" w:rsidRPr="00207F8F" w:rsidRDefault="00207F8F" w:rsidP="00715410">
            <w:pPr>
              <w:pStyle w:val="a3"/>
              <w:spacing w:line="276" w:lineRule="auto"/>
              <w:ind w:left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07F8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Данные ГБУЗ МОБ, представленные губернатору МО </w:t>
            </w:r>
          </w:p>
        </w:tc>
        <w:tc>
          <w:tcPr>
            <w:tcW w:w="2458" w:type="dxa"/>
            <w:vAlign w:val="center"/>
          </w:tcPr>
          <w:p w:rsidR="00207F8F" w:rsidRPr="00207F8F" w:rsidRDefault="00207F8F" w:rsidP="00F42E0A">
            <w:pPr>
              <w:pStyle w:val="a3"/>
              <w:spacing w:line="276" w:lineRule="auto"/>
              <w:ind w:left="391" w:hanging="391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07F8F">
              <w:rPr>
                <w:rFonts w:ascii="Times New Roman" w:eastAsia="Calibri" w:hAnsi="Times New Roman" w:cs="Times New Roman"/>
                <w:sz w:val="26"/>
                <w:szCs w:val="26"/>
              </w:rPr>
              <w:t>Данные проверки ТФОМС МО</w:t>
            </w:r>
          </w:p>
        </w:tc>
        <w:tc>
          <w:tcPr>
            <w:tcW w:w="2088" w:type="dxa"/>
          </w:tcPr>
          <w:p w:rsidR="00207F8F" w:rsidRDefault="00207F8F" w:rsidP="00F42E0A">
            <w:pPr>
              <w:pStyle w:val="a3"/>
              <w:spacing w:line="276" w:lineRule="auto"/>
              <w:ind w:left="391" w:hanging="39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Примечания</w:t>
            </w:r>
          </w:p>
        </w:tc>
      </w:tr>
      <w:tr w:rsidR="00207F8F" w:rsidTr="00207F8F">
        <w:trPr>
          <w:jc w:val="center"/>
        </w:trPr>
        <w:tc>
          <w:tcPr>
            <w:tcW w:w="2567" w:type="dxa"/>
            <w:vAlign w:val="center"/>
          </w:tcPr>
          <w:p w:rsidR="00207F8F" w:rsidRPr="00207F8F" w:rsidRDefault="00207F8F" w:rsidP="00715410">
            <w:pPr>
              <w:pStyle w:val="a3"/>
              <w:spacing w:line="276" w:lineRule="auto"/>
              <w:ind w:left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07F8F">
              <w:rPr>
                <w:rFonts w:ascii="Times New Roman" w:eastAsia="Calibri" w:hAnsi="Times New Roman" w:cs="Times New Roman"/>
                <w:sz w:val="26"/>
                <w:szCs w:val="26"/>
              </w:rPr>
              <w:t>Врачи</w:t>
            </w:r>
          </w:p>
        </w:tc>
        <w:tc>
          <w:tcPr>
            <w:tcW w:w="2458" w:type="dxa"/>
            <w:vAlign w:val="center"/>
          </w:tcPr>
          <w:p w:rsidR="00207F8F" w:rsidRPr="00207F8F" w:rsidRDefault="00207F8F" w:rsidP="00715410">
            <w:pPr>
              <w:pStyle w:val="a3"/>
              <w:spacing w:line="276" w:lineRule="auto"/>
              <w:ind w:left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07F8F">
              <w:rPr>
                <w:rFonts w:ascii="Times New Roman" w:eastAsia="Calibri" w:hAnsi="Times New Roman" w:cs="Times New Roman"/>
                <w:sz w:val="26"/>
                <w:szCs w:val="26"/>
              </w:rPr>
              <w:t>от 52,4 до 63,5</w:t>
            </w:r>
          </w:p>
        </w:tc>
        <w:tc>
          <w:tcPr>
            <w:tcW w:w="2458" w:type="dxa"/>
            <w:vAlign w:val="center"/>
          </w:tcPr>
          <w:p w:rsidR="00207F8F" w:rsidRPr="00207F8F" w:rsidRDefault="00207F8F" w:rsidP="00715410">
            <w:pPr>
              <w:pStyle w:val="a3"/>
              <w:spacing w:line="276" w:lineRule="auto"/>
              <w:ind w:left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07F8F">
              <w:rPr>
                <w:rFonts w:ascii="Times New Roman" w:eastAsia="Calibri" w:hAnsi="Times New Roman" w:cs="Times New Roman"/>
                <w:sz w:val="26"/>
                <w:szCs w:val="26"/>
              </w:rPr>
              <w:t>от 63,2 до 116,9</w:t>
            </w:r>
          </w:p>
        </w:tc>
        <w:tc>
          <w:tcPr>
            <w:tcW w:w="2088" w:type="dxa"/>
            <w:vMerge w:val="restart"/>
          </w:tcPr>
          <w:p w:rsidR="00207F8F" w:rsidRPr="00207F8F" w:rsidRDefault="00207F8F" w:rsidP="00715410">
            <w:pPr>
              <w:pStyle w:val="a3"/>
              <w:spacing w:line="276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F8F">
              <w:rPr>
                <w:rFonts w:ascii="Times New Roman" w:eastAsia="Calibri" w:hAnsi="Times New Roman" w:cs="Times New Roman"/>
                <w:sz w:val="24"/>
                <w:szCs w:val="24"/>
              </w:rPr>
              <w:t>По всем категориям медицинского персонала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самая низкая заработная плата, у сотрудников отработавших неполный баланс рабочего времени.</w:t>
            </w:r>
          </w:p>
        </w:tc>
      </w:tr>
      <w:tr w:rsidR="00207F8F" w:rsidTr="00207F8F">
        <w:trPr>
          <w:jc w:val="center"/>
        </w:trPr>
        <w:tc>
          <w:tcPr>
            <w:tcW w:w="2567" w:type="dxa"/>
            <w:vAlign w:val="center"/>
          </w:tcPr>
          <w:p w:rsidR="00207F8F" w:rsidRPr="00207F8F" w:rsidRDefault="00207F8F" w:rsidP="00715410">
            <w:pPr>
              <w:pStyle w:val="a3"/>
              <w:spacing w:line="276" w:lineRule="auto"/>
              <w:ind w:left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07F8F">
              <w:rPr>
                <w:rFonts w:ascii="Times New Roman" w:eastAsia="Calibri" w:hAnsi="Times New Roman" w:cs="Times New Roman"/>
                <w:sz w:val="26"/>
                <w:szCs w:val="26"/>
              </w:rPr>
              <w:t>Средний медицинский персонал</w:t>
            </w:r>
          </w:p>
        </w:tc>
        <w:tc>
          <w:tcPr>
            <w:tcW w:w="2458" w:type="dxa"/>
            <w:vAlign w:val="center"/>
          </w:tcPr>
          <w:p w:rsidR="00207F8F" w:rsidRPr="00207F8F" w:rsidRDefault="00207F8F" w:rsidP="00715410">
            <w:pPr>
              <w:pStyle w:val="a3"/>
              <w:spacing w:line="276" w:lineRule="auto"/>
              <w:ind w:left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07F8F">
              <w:rPr>
                <w:rFonts w:ascii="Times New Roman" w:eastAsia="Calibri" w:hAnsi="Times New Roman" w:cs="Times New Roman"/>
                <w:sz w:val="26"/>
                <w:szCs w:val="26"/>
              </w:rPr>
              <w:t>от 28,3 до 30,9</w:t>
            </w:r>
          </w:p>
        </w:tc>
        <w:tc>
          <w:tcPr>
            <w:tcW w:w="2458" w:type="dxa"/>
            <w:vAlign w:val="center"/>
          </w:tcPr>
          <w:p w:rsidR="00207F8F" w:rsidRPr="00207F8F" w:rsidRDefault="00207F8F" w:rsidP="00715410">
            <w:pPr>
              <w:pStyle w:val="a3"/>
              <w:spacing w:line="276" w:lineRule="auto"/>
              <w:ind w:left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07F8F">
              <w:rPr>
                <w:rFonts w:ascii="Times New Roman" w:eastAsia="Calibri" w:hAnsi="Times New Roman" w:cs="Times New Roman"/>
                <w:sz w:val="26"/>
                <w:szCs w:val="26"/>
              </w:rPr>
              <w:t>от 34,2 до 61,8</w:t>
            </w:r>
          </w:p>
        </w:tc>
        <w:tc>
          <w:tcPr>
            <w:tcW w:w="2088" w:type="dxa"/>
            <w:vMerge/>
          </w:tcPr>
          <w:p w:rsidR="00207F8F" w:rsidRDefault="00207F8F" w:rsidP="00715410">
            <w:pPr>
              <w:pStyle w:val="a3"/>
              <w:spacing w:line="276" w:lineRule="auto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07F8F" w:rsidTr="00207F8F">
        <w:trPr>
          <w:jc w:val="center"/>
        </w:trPr>
        <w:tc>
          <w:tcPr>
            <w:tcW w:w="2567" w:type="dxa"/>
            <w:vAlign w:val="center"/>
          </w:tcPr>
          <w:p w:rsidR="00207F8F" w:rsidRPr="00207F8F" w:rsidRDefault="00207F8F" w:rsidP="00715410">
            <w:pPr>
              <w:pStyle w:val="a3"/>
              <w:spacing w:line="276" w:lineRule="auto"/>
              <w:ind w:left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07F8F">
              <w:rPr>
                <w:rFonts w:ascii="Times New Roman" w:eastAsia="Calibri" w:hAnsi="Times New Roman" w:cs="Times New Roman"/>
                <w:sz w:val="26"/>
                <w:szCs w:val="26"/>
              </w:rPr>
              <w:t>Младший медицинский персонал</w:t>
            </w:r>
          </w:p>
        </w:tc>
        <w:tc>
          <w:tcPr>
            <w:tcW w:w="2458" w:type="dxa"/>
            <w:vAlign w:val="center"/>
          </w:tcPr>
          <w:p w:rsidR="00207F8F" w:rsidRPr="00207F8F" w:rsidRDefault="00207F8F" w:rsidP="00715410">
            <w:pPr>
              <w:pStyle w:val="a3"/>
              <w:spacing w:line="276" w:lineRule="auto"/>
              <w:ind w:left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07F8F">
              <w:rPr>
                <w:rFonts w:ascii="Times New Roman" w:eastAsia="Calibri" w:hAnsi="Times New Roman" w:cs="Times New Roman"/>
                <w:sz w:val="26"/>
                <w:szCs w:val="26"/>
              </w:rPr>
              <w:t>от 28,9 до 29,7</w:t>
            </w:r>
          </w:p>
        </w:tc>
        <w:tc>
          <w:tcPr>
            <w:tcW w:w="2458" w:type="dxa"/>
            <w:vAlign w:val="center"/>
          </w:tcPr>
          <w:p w:rsidR="00207F8F" w:rsidRPr="00207F8F" w:rsidRDefault="00207F8F" w:rsidP="00715410">
            <w:pPr>
              <w:pStyle w:val="a3"/>
              <w:spacing w:line="276" w:lineRule="auto"/>
              <w:ind w:left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07F8F">
              <w:rPr>
                <w:rFonts w:ascii="Times New Roman" w:eastAsia="Calibri" w:hAnsi="Times New Roman" w:cs="Times New Roman"/>
                <w:sz w:val="26"/>
                <w:szCs w:val="26"/>
              </w:rPr>
              <w:t>от 40,5 до 74,1</w:t>
            </w:r>
          </w:p>
        </w:tc>
        <w:tc>
          <w:tcPr>
            <w:tcW w:w="2088" w:type="dxa"/>
            <w:vMerge/>
          </w:tcPr>
          <w:p w:rsidR="00207F8F" w:rsidRDefault="00207F8F" w:rsidP="00715410">
            <w:pPr>
              <w:pStyle w:val="a3"/>
              <w:spacing w:line="276" w:lineRule="auto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F42E0A" w:rsidRDefault="00EC42D9" w:rsidP="00715410">
      <w:pPr>
        <w:pStyle w:val="a3"/>
        <w:spacing w:after="0" w:line="276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50AB8" w:rsidRPr="00207F8F" w:rsidRDefault="00F50AB8" w:rsidP="00207F8F">
      <w:pPr>
        <w:pStyle w:val="a3"/>
        <w:numPr>
          <w:ilvl w:val="0"/>
          <w:numId w:val="4"/>
        </w:numPr>
        <w:spacing w:after="0" w:line="276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EC42D9">
        <w:rPr>
          <w:rFonts w:ascii="Times New Roman" w:eastAsia="Calibri" w:hAnsi="Times New Roman" w:cs="Times New Roman"/>
          <w:sz w:val="28"/>
          <w:szCs w:val="28"/>
        </w:rPr>
        <w:t>сведениях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максимальной заработной плате </w:t>
      </w:r>
      <w:r w:rsidR="00207F8F" w:rsidRPr="00207F8F">
        <w:rPr>
          <w:rFonts w:ascii="Times New Roman" w:eastAsia="Calibri" w:hAnsi="Times New Roman" w:cs="Times New Roman"/>
          <w:sz w:val="28"/>
          <w:szCs w:val="28"/>
        </w:rPr>
        <w:t>суммы, указанные в информации Учреждения не нашли подт</w:t>
      </w:r>
      <w:r w:rsidR="002B0402">
        <w:rPr>
          <w:rFonts w:ascii="Times New Roman" w:eastAsia="Calibri" w:hAnsi="Times New Roman" w:cs="Times New Roman"/>
          <w:sz w:val="28"/>
          <w:szCs w:val="28"/>
        </w:rPr>
        <w:t>в</w:t>
      </w:r>
      <w:r w:rsidR="00207F8F" w:rsidRPr="00207F8F">
        <w:rPr>
          <w:rFonts w:ascii="Times New Roman" w:eastAsia="Calibri" w:hAnsi="Times New Roman" w:cs="Times New Roman"/>
          <w:sz w:val="28"/>
          <w:szCs w:val="28"/>
        </w:rPr>
        <w:t>ерждения</w:t>
      </w:r>
      <w:r w:rsidR="002B0402" w:rsidRPr="002B040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B0402">
        <w:rPr>
          <w:rFonts w:ascii="Times New Roman" w:eastAsia="Calibri" w:hAnsi="Times New Roman" w:cs="Times New Roman"/>
          <w:sz w:val="28"/>
          <w:szCs w:val="28"/>
        </w:rPr>
        <w:t>по данным проверки.</w:t>
      </w:r>
    </w:p>
    <w:p w:rsidR="00232154" w:rsidRPr="008F0F24" w:rsidRDefault="00232154" w:rsidP="00232154">
      <w:pPr>
        <w:pStyle w:val="a3"/>
        <w:spacing w:after="0" w:line="276" w:lineRule="auto"/>
        <w:ind w:left="28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F0F24">
        <w:rPr>
          <w:rFonts w:ascii="Times New Roman" w:eastAsia="Calibri" w:hAnsi="Times New Roman" w:cs="Times New Roman"/>
          <w:b/>
          <w:sz w:val="28"/>
          <w:szCs w:val="28"/>
        </w:rPr>
        <w:t>Диапазон максимальной средней заработной платы по категориям:</w:t>
      </w:r>
    </w:p>
    <w:p w:rsidR="00232154" w:rsidRDefault="00232154" w:rsidP="00232154">
      <w:pPr>
        <w:pStyle w:val="a3"/>
        <w:spacing w:after="0" w:line="276" w:lineRule="auto"/>
        <w:ind w:left="284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тыс. руб.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2410"/>
        <w:gridCol w:w="2584"/>
        <w:gridCol w:w="2262"/>
        <w:gridCol w:w="2315"/>
      </w:tblGrid>
      <w:tr w:rsidR="002B0402" w:rsidTr="002B0402">
        <w:trPr>
          <w:jc w:val="center"/>
        </w:trPr>
        <w:tc>
          <w:tcPr>
            <w:tcW w:w="2497" w:type="dxa"/>
            <w:vAlign w:val="center"/>
          </w:tcPr>
          <w:p w:rsidR="002B0402" w:rsidRPr="002B0402" w:rsidRDefault="002B0402" w:rsidP="00AC3D4A">
            <w:pPr>
              <w:pStyle w:val="a3"/>
              <w:spacing w:line="276" w:lineRule="auto"/>
              <w:ind w:left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B0402">
              <w:rPr>
                <w:rFonts w:ascii="Times New Roman" w:eastAsia="Calibri" w:hAnsi="Times New Roman" w:cs="Times New Roman"/>
                <w:sz w:val="26"/>
                <w:szCs w:val="26"/>
              </w:rPr>
              <w:t>Категория персонала</w:t>
            </w:r>
          </w:p>
        </w:tc>
        <w:tc>
          <w:tcPr>
            <w:tcW w:w="2671" w:type="dxa"/>
            <w:vAlign w:val="center"/>
          </w:tcPr>
          <w:p w:rsidR="002B0402" w:rsidRPr="002B0402" w:rsidRDefault="002B0402" w:rsidP="00AC3D4A">
            <w:pPr>
              <w:pStyle w:val="a3"/>
              <w:spacing w:line="276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0402">
              <w:rPr>
                <w:rFonts w:ascii="Times New Roman" w:eastAsia="Calibri" w:hAnsi="Times New Roman" w:cs="Times New Roman"/>
                <w:sz w:val="24"/>
                <w:szCs w:val="24"/>
              </w:rPr>
              <w:t>Данные ГБУЗ МОБ, представленные губернатору МО</w:t>
            </w:r>
          </w:p>
        </w:tc>
        <w:tc>
          <w:tcPr>
            <w:tcW w:w="2386" w:type="dxa"/>
            <w:vAlign w:val="center"/>
          </w:tcPr>
          <w:p w:rsidR="002B0402" w:rsidRPr="002B0402" w:rsidRDefault="002B0402" w:rsidP="00AC3D4A">
            <w:pPr>
              <w:pStyle w:val="a3"/>
              <w:spacing w:line="276" w:lineRule="auto"/>
              <w:ind w:left="391" w:hanging="391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B0402">
              <w:rPr>
                <w:rFonts w:ascii="Times New Roman" w:eastAsia="Calibri" w:hAnsi="Times New Roman" w:cs="Times New Roman"/>
                <w:sz w:val="26"/>
                <w:szCs w:val="26"/>
              </w:rPr>
              <w:t>Данные проверки ТФОМС МО</w:t>
            </w:r>
          </w:p>
        </w:tc>
        <w:tc>
          <w:tcPr>
            <w:tcW w:w="2017" w:type="dxa"/>
          </w:tcPr>
          <w:p w:rsidR="002B0402" w:rsidRPr="002B0402" w:rsidRDefault="002B0402" w:rsidP="00AC3D4A">
            <w:pPr>
              <w:pStyle w:val="a3"/>
              <w:spacing w:line="276" w:lineRule="auto"/>
              <w:ind w:left="391" w:hanging="391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Примечания</w:t>
            </w:r>
          </w:p>
        </w:tc>
      </w:tr>
      <w:tr w:rsidR="002B0402" w:rsidTr="002B0402">
        <w:trPr>
          <w:jc w:val="center"/>
        </w:trPr>
        <w:tc>
          <w:tcPr>
            <w:tcW w:w="2497" w:type="dxa"/>
            <w:vAlign w:val="center"/>
          </w:tcPr>
          <w:p w:rsidR="002B0402" w:rsidRPr="002B0402" w:rsidRDefault="002B0402" w:rsidP="00AC3D4A">
            <w:pPr>
              <w:pStyle w:val="a3"/>
              <w:spacing w:line="276" w:lineRule="auto"/>
              <w:ind w:left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B0402">
              <w:rPr>
                <w:rFonts w:ascii="Times New Roman" w:eastAsia="Calibri" w:hAnsi="Times New Roman" w:cs="Times New Roman"/>
                <w:sz w:val="26"/>
                <w:szCs w:val="26"/>
              </w:rPr>
              <w:t>Врачи</w:t>
            </w:r>
          </w:p>
        </w:tc>
        <w:tc>
          <w:tcPr>
            <w:tcW w:w="2671" w:type="dxa"/>
            <w:vAlign w:val="center"/>
          </w:tcPr>
          <w:p w:rsidR="002B0402" w:rsidRDefault="002B0402" w:rsidP="00AC3D4A">
            <w:pPr>
              <w:pStyle w:val="a3"/>
              <w:spacing w:line="276" w:lineRule="auto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 331,7 до 400,1</w:t>
            </w:r>
          </w:p>
        </w:tc>
        <w:tc>
          <w:tcPr>
            <w:tcW w:w="2386" w:type="dxa"/>
            <w:vAlign w:val="center"/>
          </w:tcPr>
          <w:p w:rsidR="002B0402" w:rsidRPr="002B0402" w:rsidRDefault="002B0402" w:rsidP="00AC3D4A">
            <w:pPr>
              <w:pStyle w:val="a3"/>
              <w:spacing w:line="276" w:lineRule="auto"/>
              <w:ind w:left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B0402">
              <w:rPr>
                <w:rFonts w:ascii="Times New Roman" w:eastAsia="Calibri" w:hAnsi="Times New Roman" w:cs="Times New Roman"/>
                <w:sz w:val="26"/>
                <w:szCs w:val="26"/>
              </w:rPr>
              <w:t>от 123,2 до 288,0</w:t>
            </w:r>
          </w:p>
        </w:tc>
        <w:tc>
          <w:tcPr>
            <w:tcW w:w="2017" w:type="dxa"/>
            <w:vMerge w:val="restart"/>
          </w:tcPr>
          <w:p w:rsidR="002B0402" w:rsidRPr="002B0402" w:rsidRDefault="002B0402" w:rsidP="00AC3D4A">
            <w:pPr>
              <w:pStyle w:val="a3"/>
              <w:spacing w:line="276" w:lineRule="auto"/>
              <w:ind w:left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Сумма начислений зависит от объема выполненной работы, выплат компенсационного характера (категория, СН и т.д.)</w:t>
            </w:r>
          </w:p>
        </w:tc>
      </w:tr>
      <w:tr w:rsidR="002B0402" w:rsidTr="002B0402">
        <w:trPr>
          <w:jc w:val="center"/>
        </w:trPr>
        <w:tc>
          <w:tcPr>
            <w:tcW w:w="2497" w:type="dxa"/>
            <w:vAlign w:val="center"/>
          </w:tcPr>
          <w:p w:rsidR="002B0402" w:rsidRPr="002B0402" w:rsidRDefault="002B0402" w:rsidP="00AC3D4A">
            <w:pPr>
              <w:pStyle w:val="a3"/>
              <w:spacing w:line="276" w:lineRule="auto"/>
              <w:ind w:left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B0402">
              <w:rPr>
                <w:rFonts w:ascii="Times New Roman" w:eastAsia="Calibri" w:hAnsi="Times New Roman" w:cs="Times New Roman"/>
                <w:sz w:val="26"/>
                <w:szCs w:val="26"/>
              </w:rPr>
              <w:t>Средний медицинский персонал</w:t>
            </w:r>
          </w:p>
        </w:tc>
        <w:tc>
          <w:tcPr>
            <w:tcW w:w="2671" w:type="dxa"/>
            <w:vAlign w:val="center"/>
          </w:tcPr>
          <w:p w:rsidR="002B0402" w:rsidRDefault="002B0402" w:rsidP="00AC3D4A">
            <w:pPr>
              <w:pStyle w:val="a3"/>
              <w:spacing w:line="276" w:lineRule="auto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 71,4 до 202,8</w:t>
            </w:r>
          </w:p>
        </w:tc>
        <w:tc>
          <w:tcPr>
            <w:tcW w:w="2386" w:type="dxa"/>
            <w:vAlign w:val="center"/>
          </w:tcPr>
          <w:p w:rsidR="002B0402" w:rsidRPr="002B0402" w:rsidRDefault="002B0402" w:rsidP="00AC3D4A">
            <w:pPr>
              <w:pStyle w:val="a3"/>
              <w:spacing w:line="276" w:lineRule="auto"/>
              <w:ind w:left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B0402">
              <w:rPr>
                <w:rFonts w:ascii="Times New Roman" w:eastAsia="Calibri" w:hAnsi="Times New Roman" w:cs="Times New Roman"/>
                <w:sz w:val="26"/>
                <w:szCs w:val="26"/>
              </w:rPr>
              <w:t>от 86,5 до 115,8</w:t>
            </w:r>
          </w:p>
        </w:tc>
        <w:tc>
          <w:tcPr>
            <w:tcW w:w="2017" w:type="dxa"/>
            <w:vMerge/>
          </w:tcPr>
          <w:p w:rsidR="002B0402" w:rsidRPr="002B0402" w:rsidRDefault="002B0402" w:rsidP="00AC3D4A">
            <w:pPr>
              <w:pStyle w:val="a3"/>
              <w:spacing w:line="276" w:lineRule="auto"/>
              <w:ind w:left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2B0402" w:rsidTr="002B0402">
        <w:trPr>
          <w:jc w:val="center"/>
        </w:trPr>
        <w:tc>
          <w:tcPr>
            <w:tcW w:w="2497" w:type="dxa"/>
            <w:vAlign w:val="center"/>
          </w:tcPr>
          <w:p w:rsidR="002B0402" w:rsidRPr="002B0402" w:rsidRDefault="002B0402" w:rsidP="00AC3D4A">
            <w:pPr>
              <w:pStyle w:val="a3"/>
              <w:spacing w:line="276" w:lineRule="auto"/>
              <w:ind w:left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B0402">
              <w:rPr>
                <w:rFonts w:ascii="Times New Roman" w:eastAsia="Calibri" w:hAnsi="Times New Roman" w:cs="Times New Roman"/>
                <w:sz w:val="26"/>
                <w:szCs w:val="26"/>
              </w:rPr>
              <w:t>Младший медицинский персонал</w:t>
            </w:r>
          </w:p>
        </w:tc>
        <w:tc>
          <w:tcPr>
            <w:tcW w:w="2671" w:type="dxa"/>
            <w:vAlign w:val="center"/>
          </w:tcPr>
          <w:p w:rsidR="002B0402" w:rsidRDefault="002B0402" w:rsidP="00AC3D4A">
            <w:pPr>
              <w:pStyle w:val="a3"/>
              <w:spacing w:line="276" w:lineRule="auto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 132,2 до 278,3</w:t>
            </w:r>
          </w:p>
        </w:tc>
        <w:tc>
          <w:tcPr>
            <w:tcW w:w="2386" w:type="dxa"/>
            <w:vAlign w:val="center"/>
          </w:tcPr>
          <w:p w:rsidR="002B0402" w:rsidRPr="002B0402" w:rsidRDefault="002B0402" w:rsidP="00AC3D4A">
            <w:pPr>
              <w:pStyle w:val="a3"/>
              <w:spacing w:line="276" w:lineRule="auto"/>
              <w:ind w:left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B0402">
              <w:rPr>
                <w:rFonts w:ascii="Times New Roman" w:eastAsia="Calibri" w:hAnsi="Times New Roman" w:cs="Times New Roman"/>
                <w:sz w:val="26"/>
                <w:szCs w:val="26"/>
              </w:rPr>
              <w:t>от 51,7 до 69,6</w:t>
            </w:r>
          </w:p>
        </w:tc>
        <w:tc>
          <w:tcPr>
            <w:tcW w:w="2017" w:type="dxa"/>
          </w:tcPr>
          <w:p w:rsidR="002B0402" w:rsidRPr="002B0402" w:rsidRDefault="002B0402" w:rsidP="00AC3D4A">
            <w:pPr>
              <w:pStyle w:val="a3"/>
              <w:spacing w:line="276" w:lineRule="auto"/>
              <w:ind w:left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Необъективно отражена информация, указан не средний заработок</w:t>
            </w:r>
          </w:p>
        </w:tc>
      </w:tr>
    </w:tbl>
    <w:p w:rsidR="00306D47" w:rsidRDefault="00306D47" w:rsidP="00CE20BC">
      <w:pPr>
        <w:spacing w:after="0" w:line="276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97736" w:rsidRDefault="00BF7CA7" w:rsidP="00CE20BC">
      <w:pPr>
        <w:spacing w:after="0" w:line="276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С</w:t>
      </w:r>
      <w:r w:rsidR="00897736">
        <w:rPr>
          <w:rFonts w:ascii="Times New Roman" w:eastAsia="Calibri" w:hAnsi="Times New Roman" w:cs="Times New Roman"/>
          <w:sz w:val="28"/>
          <w:szCs w:val="28"/>
        </w:rPr>
        <w:t xml:space="preserve">амый высокий средний заработок </w:t>
      </w:r>
      <w:r>
        <w:rPr>
          <w:rFonts w:ascii="Times New Roman" w:eastAsia="Calibri" w:hAnsi="Times New Roman" w:cs="Times New Roman"/>
          <w:sz w:val="28"/>
          <w:szCs w:val="28"/>
        </w:rPr>
        <w:t>врачей</w:t>
      </w:r>
      <w:r w:rsidR="00B21596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97736">
        <w:rPr>
          <w:rFonts w:ascii="Times New Roman" w:eastAsia="Calibri" w:hAnsi="Times New Roman" w:cs="Times New Roman"/>
          <w:sz w:val="28"/>
          <w:szCs w:val="28"/>
        </w:rPr>
        <w:t xml:space="preserve">фактически </w:t>
      </w:r>
      <w:r w:rsidR="00306D47">
        <w:rPr>
          <w:rFonts w:ascii="Times New Roman" w:eastAsia="Calibri" w:hAnsi="Times New Roman" w:cs="Times New Roman"/>
          <w:sz w:val="28"/>
          <w:szCs w:val="28"/>
        </w:rPr>
        <w:t>подтвержденный данными проверки</w:t>
      </w:r>
      <w:r w:rsidR="00B21596">
        <w:rPr>
          <w:rFonts w:ascii="Times New Roman" w:eastAsia="Calibri" w:hAnsi="Times New Roman" w:cs="Times New Roman"/>
          <w:sz w:val="28"/>
          <w:szCs w:val="28"/>
        </w:rPr>
        <w:t>,</w:t>
      </w:r>
      <w:r w:rsidR="00306D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97736">
        <w:rPr>
          <w:rFonts w:ascii="Times New Roman" w:eastAsia="Calibri" w:hAnsi="Times New Roman" w:cs="Times New Roman"/>
          <w:sz w:val="28"/>
          <w:szCs w:val="28"/>
        </w:rPr>
        <w:t xml:space="preserve">составляет 288,0 тыс. руб., </w:t>
      </w:r>
      <w:r>
        <w:rPr>
          <w:rFonts w:ascii="Times New Roman" w:eastAsia="Calibri" w:hAnsi="Times New Roman" w:cs="Times New Roman"/>
          <w:sz w:val="28"/>
          <w:szCs w:val="28"/>
        </w:rPr>
        <w:t>по сведениям ГБУЗ МОБ</w:t>
      </w:r>
      <w:r w:rsidR="002B0402">
        <w:rPr>
          <w:rFonts w:ascii="Times New Roman" w:eastAsia="Calibri" w:hAnsi="Times New Roman" w:cs="Times New Roman"/>
          <w:sz w:val="28"/>
          <w:szCs w:val="28"/>
        </w:rPr>
        <w:t>,</w:t>
      </w:r>
      <w:r w:rsidR="002B0402" w:rsidRPr="002B040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B0402">
        <w:rPr>
          <w:rFonts w:ascii="Times New Roman" w:eastAsia="Calibri" w:hAnsi="Times New Roman" w:cs="Times New Roman"/>
          <w:sz w:val="28"/>
          <w:szCs w:val="28"/>
        </w:rPr>
        <w:t xml:space="preserve">представленным губернатору Магаданской области С.К. Носову.  </w:t>
      </w:r>
      <w:r>
        <w:rPr>
          <w:rFonts w:ascii="Times New Roman" w:eastAsia="Calibri" w:hAnsi="Times New Roman" w:cs="Times New Roman"/>
          <w:sz w:val="28"/>
          <w:szCs w:val="28"/>
        </w:rPr>
        <w:t>400,1 тыс. руб.</w:t>
      </w:r>
      <w:r w:rsidR="002B0402">
        <w:rPr>
          <w:rFonts w:ascii="Times New Roman" w:eastAsia="Calibri" w:hAnsi="Times New Roman" w:cs="Times New Roman"/>
          <w:sz w:val="28"/>
          <w:szCs w:val="28"/>
        </w:rPr>
        <w:t xml:space="preserve"> Причина расхождений не установлена.</w:t>
      </w:r>
    </w:p>
    <w:p w:rsidR="00590C53" w:rsidRDefault="00590C53" w:rsidP="00CE20BC">
      <w:pPr>
        <w:spacing w:after="0" w:line="276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Самый высокий средний заработок среднего медицинского персонала</w:t>
      </w:r>
      <w:r w:rsidR="00B21596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фактически </w:t>
      </w:r>
      <w:r w:rsidR="00B21596">
        <w:rPr>
          <w:rFonts w:ascii="Times New Roman" w:eastAsia="Calibri" w:hAnsi="Times New Roman" w:cs="Times New Roman"/>
          <w:sz w:val="28"/>
          <w:szCs w:val="28"/>
        </w:rPr>
        <w:t xml:space="preserve">подтвержденный данными проверки,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составляет 115,8 тыс. руб., по сведениям ГБУЗ МОБ </w:t>
      </w:r>
      <w:r w:rsidR="002B0402">
        <w:rPr>
          <w:rFonts w:ascii="Times New Roman" w:eastAsia="Calibri" w:hAnsi="Times New Roman" w:cs="Times New Roman"/>
          <w:sz w:val="28"/>
          <w:szCs w:val="28"/>
        </w:rPr>
        <w:t xml:space="preserve">представленным губернатору Магаданской области С.К. Носову. </w:t>
      </w:r>
      <w:r>
        <w:rPr>
          <w:rFonts w:ascii="Times New Roman" w:eastAsia="Calibri" w:hAnsi="Times New Roman" w:cs="Times New Roman"/>
          <w:sz w:val="28"/>
          <w:szCs w:val="28"/>
        </w:rPr>
        <w:t>202,8 тыс. руб.</w:t>
      </w:r>
      <w:r w:rsidR="002B0402">
        <w:rPr>
          <w:rFonts w:ascii="Times New Roman" w:eastAsia="Calibri" w:hAnsi="Times New Roman" w:cs="Times New Roman"/>
          <w:sz w:val="28"/>
          <w:szCs w:val="28"/>
        </w:rPr>
        <w:t xml:space="preserve"> Причина расхождений не установлена.</w:t>
      </w:r>
    </w:p>
    <w:p w:rsidR="00590C53" w:rsidRDefault="00590C53" w:rsidP="00CE20BC">
      <w:pPr>
        <w:spacing w:after="0" w:line="276" w:lineRule="auto"/>
        <w:ind w:firstLine="284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90C53">
        <w:rPr>
          <w:rFonts w:ascii="Times New Roman" w:eastAsia="Calibri" w:hAnsi="Times New Roman" w:cs="Times New Roman"/>
          <w:b/>
          <w:sz w:val="28"/>
          <w:szCs w:val="28"/>
        </w:rPr>
        <w:t>Младший медицинский персонал</w:t>
      </w:r>
    </w:p>
    <w:p w:rsidR="00B21596" w:rsidRDefault="00590C53" w:rsidP="00CE20BC">
      <w:pPr>
        <w:spacing w:after="0" w:line="276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данной категории персонала у двух сотрудников в сведениях ГБУЗ МОБ указан не средний заработок, а общая сумма начислений за месяц, так как они отработали один месяц</w:t>
      </w:r>
      <w:r w:rsidR="00DD7E35">
        <w:rPr>
          <w:rFonts w:ascii="Times New Roman" w:eastAsia="Calibri" w:hAnsi="Times New Roman" w:cs="Times New Roman"/>
          <w:sz w:val="28"/>
          <w:szCs w:val="28"/>
        </w:rPr>
        <w:t xml:space="preserve"> в ГБУЗ МОБ (перешли при реорганизации) </w:t>
      </w:r>
      <w:r>
        <w:rPr>
          <w:rFonts w:ascii="Times New Roman" w:eastAsia="Calibri" w:hAnsi="Times New Roman" w:cs="Times New Roman"/>
          <w:sz w:val="28"/>
          <w:szCs w:val="28"/>
        </w:rPr>
        <w:t>и получили компенсацию при увольнении</w:t>
      </w:r>
      <w:r w:rsidR="00DD7E3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DD7E35" w:rsidRDefault="00DD7E35" w:rsidP="00CE20BC">
      <w:pPr>
        <w:spacing w:after="0" w:line="276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8"/>
        <w:tblW w:w="9054" w:type="dxa"/>
        <w:jc w:val="center"/>
        <w:tblLook w:val="04A0" w:firstRow="1" w:lastRow="0" w:firstColumn="1" w:lastColumn="0" w:noHBand="0" w:noVBand="1"/>
      </w:tblPr>
      <w:tblGrid>
        <w:gridCol w:w="1360"/>
        <w:gridCol w:w="2014"/>
        <w:gridCol w:w="1789"/>
        <w:gridCol w:w="1707"/>
        <w:gridCol w:w="2184"/>
      </w:tblGrid>
      <w:tr w:rsidR="004E1D69" w:rsidTr="004E1D69">
        <w:trPr>
          <w:jc w:val="center"/>
        </w:trPr>
        <w:tc>
          <w:tcPr>
            <w:tcW w:w="1360" w:type="dxa"/>
          </w:tcPr>
          <w:p w:rsidR="004E1D69" w:rsidRPr="00DD7E35" w:rsidRDefault="004E1D69" w:rsidP="00AC3D4A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D7E35">
              <w:rPr>
                <w:rFonts w:ascii="Times New Roman" w:eastAsia="Calibri" w:hAnsi="Times New Roman" w:cs="Times New Roman"/>
                <w:sz w:val="26"/>
                <w:szCs w:val="26"/>
              </w:rPr>
              <w:t>Категория персонала</w:t>
            </w:r>
          </w:p>
        </w:tc>
        <w:tc>
          <w:tcPr>
            <w:tcW w:w="2014" w:type="dxa"/>
          </w:tcPr>
          <w:p w:rsidR="004E1D69" w:rsidRPr="00DD7E35" w:rsidRDefault="004E1D69" w:rsidP="00AC3D4A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D7E35">
              <w:rPr>
                <w:rFonts w:ascii="Times New Roman" w:eastAsia="Calibri" w:hAnsi="Times New Roman" w:cs="Times New Roman"/>
                <w:sz w:val="26"/>
                <w:szCs w:val="26"/>
              </w:rPr>
              <w:t>Данные ГБУЗ МОБ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, представленные губернатору МО</w:t>
            </w:r>
          </w:p>
        </w:tc>
        <w:tc>
          <w:tcPr>
            <w:tcW w:w="1789" w:type="dxa"/>
          </w:tcPr>
          <w:p w:rsidR="004E1D69" w:rsidRPr="00210044" w:rsidRDefault="004E1D69" w:rsidP="00DD7E35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0044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Фактический средний заработок за отработанный месяц с учетом отпуска</w:t>
            </w:r>
            <w:r w:rsidR="00210044" w:rsidRPr="002100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данным проверки</w:t>
            </w:r>
          </w:p>
        </w:tc>
        <w:tc>
          <w:tcPr>
            <w:tcW w:w="1707" w:type="dxa"/>
          </w:tcPr>
          <w:p w:rsidR="004E1D69" w:rsidRPr="00DD7E35" w:rsidRDefault="004E1D69" w:rsidP="00DD7E35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D7E35">
              <w:rPr>
                <w:rFonts w:ascii="Times New Roman" w:eastAsia="Calibri" w:hAnsi="Times New Roman" w:cs="Times New Roman"/>
                <w:sz w:val="26"/>
                <w:szCs w:val="26"/>
              </w:rPr>
              <w:t>Компенсация при увольнении</w:t>
            </w:r>
            <w:r w:rsidR="0021004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по данным проверки</w:t>
            </w:r>
          </w:p>
        </w:tc>
        <w:tc>
          <w:tcPr>
            <w:tcW w:w="2184" w:type="dxa"/>
          </w:tcPr>
          <w:p w:rsidR="004E1D69" w:rsidRPr="00DD7E35" w:rsidRDefault="004E1D69" w:rsidP="00DD7E35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Примечания</w:t>
            </w:r>
          </w:p>
        </w:tc>
      </w:tr>
      <w:tr w:rsidR="004E1D69" w:rsidTr="004E1D69">
        <w:trPr>
          <w:jc w:val="center"/>
        </w:trPr>
        <w:tc>
          <w:tcPr>
            <w:tcW w:w="1360" w:type="dxa"/>
          </w:tcPr>
          <w:p w:rsidR="004E1D69" w:rsidRPr="004E1D69" w:rsidRDefault="004E1D69" w:rsidP="00AC3D4A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E1D69">
              <w:rPr>
                <w:rFonts w:ascii="Times New Roman" w:eastAsia="Calibri" w:hAnsi="Times New Roman" w:cs="Times New Roman"/>
                <w:sz w:val="26"/>
                <w:szCs w:val="26"/>
              </w:rPr>
              <w:t>санитар</w:t>
            </w:r>
          </w:p>
        </w:tc>
        <w:tc>
          <w:tcPr>
            <w:tcW w:w="2014" w:type="dxa"/>
            <w:vAlign w:val="center"/>
          </w:tcPr>
          <w:p w:rsidR="004E1D69" w:rsidRPr="004E1D69" w:rsidRDefault="004E1D69" w:rsidP="00AC3D4A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E1D69">
              <w:rPr>
                <w:rFonts w:ascii="Times New Roman" w:eastAsia="Calibri" w:hAnsi="Times New Roman" w:cs="Times New Roman"/>
                <w:sz w:val="26"/>
                <w:szCs w:val="26"/>
              </w:rPr>
              <w:t>278 289,34</w:t>
            </w:r>
          </w:p>
        </w:tc>
        <w:tc>
          <w:tcPr>
            <w:tcW w:w="1789" w:type="dxa"/>
            <w:vAlign w:val="center"/>
          </w:tcPr>
          <w:p w:rsidR="004E1D69" w:rsidRPr="004E1D69" w:rsidRDefault="004E1D69" w:rsidP="00AC3D4A">
            <w:pPr>
              <w:spacing w:line="276" w:lineRule="auto"/>
              <w:ind w:right="-1535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E1D69">
              <w:rPr>
                <w:rFonts w:ascii="Times New Roman" w:eastAsia="Calibri" w:hAnsi="Times New Roman" w:cs="Times New Roman"/>
                <w:sz w:val="26"/>
                <w:szCs w:val="26"/>
              </w:rPr>
              <w:t>52 835,11</w:t>
            </w:r>
          </w:p>
        </w:tc>
        <w:tc>
          <w:tcPr>
            <w:tcW w:w="1707" w:type="dxa"/>
          </w:tcPr>
          <w:p w:rsidR="004E1D69" w:rsidRPr="004E1D69" w:rsidRDefault="004E1D69" w:rsidP="00AC3D4A">
            <w:pPr>
              <w:spacing w:line="276" w:lineRule="auto"/>
              <w:ind w:right="-1535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E1D69">
              <w:rPr>
                <w:rFonts w:ascii="Times New Roman" w:eastAsia="Calibri" w:hAnsi="Times New Roman" w:cs="Times New Roman"/>
                <w:sz w:val="26"/>
                <w:szCs w:val="26"/>
              </w:rPr>
              <w:t>108 274,67</w:t>
            </w:r>
          </w:p>
        </w:tc>
        <w:tc>
          <w:tcPr>
            <w:tcW w:w="2184" w:type="dxa"/>
            <w:vMerge w:val="restart"/>
          </w:tcPr>
          <w:p w:rsidR="004E1D69" w:rsidRDefault="004E1D69" w:rsidP="00AC3D4A">
            <w:pPr>
              <w:spacing w:line="276" w:lineRule="auto"/>
              <w:ind w:right="-1535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4E1D69">
              <w:rPr>
                <w:rFonts w:ascii="Times New Roman" w:eastAsia="Calibri" w:hAnsi="Times New Roman" w:cs="Times New Roman"/>
              </w:rPr>
              <w:t>Отработан 1 ме</w:t>
            </w:r>
            <w:r>
              <w:rPr>
                <w:rFonts w:ascii="Times New Roman" w:eastAsia="Calibri" w:hAnsi="Times New Roman" w:cs="Times New Roman"/>
              </w:rPr>
              <w:t xml:space="preserve">сяц, получена компенсация </w:t>
            </w:r>
          </w:p>
          <w:p w:rsidR="004E1D69" w:rsidRPr="004E1D69" w:rsidRDefault="004E1D69" w:rsidP="00AC3D4A">
            <w:pPr>
              <w:spacing w:line="276" w:lineRule="auto"/>
              <w:ind w:right="-1535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 увольнении</w:t>
            </w:r>
          </w:p>
        </w:tc>
      </w:tr>
      <w:tr w:rsidR="004E1D69" w:rsidTr="004E1D69">
        <w:trPr>
          <w:jc w:val="center"/>
        </w:trPr>
        <w:tc>
          <w:tcPr>
            <w:tcW w:w="1360" w:type="dxa"/>
          </w:tcPr>
          <w:p w:rsidR="004E1D69" w:rsidRPr="004E1D69" w:rsidRDefault="004E1D69" w:rsidP="00AC3D4A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E1D69">
              <w:rPr>
                <w:rFonts w:ascii="Times New Roman" w:eastAsia="Calibri" w:hAnsi="Times New Roman" w:cs="Times New Roman"/>
                <w:sz w:val="26"/>
                <w:szCs w:val="26"/>
              </w:rPr>
              <w:t>санитар</w:t>
            </w:r>
          </w:p>
        </w:tc>
        <w:tc>
          <w:tcPr>
            <w:tcW w:w="2014" w:type="dxa"/>
            <w:vAlign w:val="center"/>
          </w:tcPr>
          <w:p w:rsidR="004E1D69" w:rsidRPr="004E1D69" w:rsidRDefault="004E1D69" w:rsidP="00AC3D4A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E1D69">
              <w:rPr>
                <w:rFonts w:ascii="Times New Roman" w:eastAsia="Calibri" w:hAnsi="Times New Roman" w:cs="Times New Roman"/>
                <w:sz w:val="26"/>
                <w:szCs w:val="26"/>
              </w:rPr>
              <w:t>199 147,29</w:t>
            </w:r>
          </w:p>
        </w:tc>
        <w:tc>
          <w:tcPr>
            <w:tcW w:w="1789" w:type="dxa"/>
            <w:vAlign w:val="center"/>
          </w:tcPr>
          <w:p w:rsidR="004E1D69" w:rsidRPr="004E1D69" w:rsidRDefault="004E1D69" w:rsidP="00AC3D4A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E1D69">
              <w:rPr>
                <w:rFonts w:ascii="Times New Roman" w:eastAsia="Calibri" w:hAnsi="Times New Roman" w:cs="Times New Roman"/>
                <w:sz w:val="26"/>
                <w:szCs w:val="26"/>
              </w:rPr>
              <w:t>51 685,06</w:t>
            </w:r>
          </w:p>
        </w:tc>
        <w:tc>
          <w:tcPr>
            <w:tcW w:w="1707" w:type="dxa"/>
          </w:tcPr>
          <w:p w:rsidR="004E1D69" w:rsidRPr="004E1D69" w:rsidRDefault="004E1D69" w:rsidP="00AC3D4A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E1D69">
              <w:rPr>
                <w:rFonts w:ascii="Times New Roman" w:eastAsia="Calibri" w:hAnsi="Times New Roman" w:cs="Times New Roman"/>
                <w:sz w:val="26"/>
                <w:szCs w:val="26"/>
              </w:rPr>
              <w:t>169 418,79</w:t>
            </w:r>
          </w:p>
        </w:tc>
        <w:tc>
          <w:tcPr>
            <w:tcW w:w="2184" w:type="dxa"/>
            <w:vMerge/>
          </w:tcPr>
          <w:p w:rsidR="004E1D69" w:rsidRDefault="004E1D69" w:rsidP="00AC3D4A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DD7E35" w:rsidRDefault="00DD7E35" w:rsidP="00CE20BC">
      <w:pPr>
        <w:spacing w:after="0" w:line="276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1596" w:rsidRDefault="00B21596" w:rsidP="00CE20BC">
      <w:pPr>
        <w:spacing w:after="0" w:line="276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трем остальным сотрудникам сведения ГБУЗ МОБ не подтверждаются данными п</w:t>
      </w:r>
      <w:r w:rsidR="009E41BB">
        <w:rPr>
          <w:rFonts w:ascii="Times New Roman" w:eastAsia="Calibri" w:hAnsi="Times New Roman" w:cs="Times New Roman"/>
          <w:sz w:val="28"/>
          <w:szCs w:val="28"/>
        </w:rPr>
        <w:t>роверки, выявлено значительное необоснованное завышение среднего заработка</w:t>
      </w:r>
      <w:r w:rsidR="004E1D69">
        <w:rPr>
          <w:rFonts w:ascii="Times New Roman" w:eastAsia="Calibri" w:hAnsi="Times New Roman" w:cs="Times New Roman"/>
          <w:sz w:val="28"/>
          <w:szCs w:val="28"/>
        </w:rPr>
        <w:t>. Причины не установлены.</w:t>
      </w:r>
    </w:p>
    <w:p w:rsidR="009E41BB" w:rsidRPr="00590C53" w:rsidRDefault="009E41BB" w:rsidP="00CE20BC">
      <w:pPr>
        <w:spacing w:after="0" w:line="276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в рублях.</w:t>
      </w:r>
    </w:p>
    <w:tbl>
      <w:tblPr>
        <w:tblStyle w:val="a8"/>
        <w:tblW w:w="9419" w:type="dxa"/>
        <w:jc w:val="center"/>
        <w:tblLook w:val="04A0" w:firstRow="1" w:lastRow="0" w:firstColumn="1" w:lastColumn="0" w:noHBand="0" w:noVBand="1"/>
      </w:tblPr>
      <w:tblGrid>
        <w:gridCol w:w="2367"/>
        <w:gridCol w:w="2769"/>
        <w:gridCol w:w="1776"/>
        <w:gridCol w:w="2507"/>
      </w:tblGrid>
      <w:tr w:rsidR="004E1D69" w:rsidRPr="004E1D69" w:rsidTr="004E1D69">
        <w:trPr>
          <w:jc w:val="center"/>
        </w:trPr>
        <w:tc>
          <w:tcPr>
            <w:tcW w:w="2367" w:type="dxa"/>
          </w:tcPr>
          <w:p w:rsidR="004E1D69" w:rsidRPr="004E1D69" w:rsidRDefault="004E1D69" w:rsidP="00CE20BC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E1D69">
              <w:rPr>
                <w:rFonts w:ascii="Times New Roman" w:eastAsia="Calibri" w:hAnsi="Times New Roman" w:cs="Times New Roman"/>
                <w:sz w:val="26"/>
                <w:szCs w:val="26"/>
              </w:rPr>
              <w:t>Категория персонала</w:t>
            </w:r>
          </w:p>
        </w:tc>
        <w:tc>
          <w:tcPr>
            <w:tcW w:w="2769" w:type="dxa"/>
          </w:tcPr>
          <w:p w:rsidR="004E1D69" w:rsidRPr="004E1D69" w:rsidRDefault="004E1D69" w:rsidP="00CE20BC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E1D69">
              <w:rPr>
                <w:rFonts w:ascii="Times New Roman" w:eastAsia="Calibri" w:hAnsi="Times New Roman" w:cs="Times New Roman"/>
                <w:sz w:val="26"/>
                <w:szCs w:val="26"/>
              </w:rPr>
              <w:t>Данные ГБУЗ МОБ, представленные губернатору МО</w:t>
            </w:r>
          </w:p>
        </w:tc>
        <w:tc>
          <w:tcPr>
            <w:tcW w:w="1776" w:type="dxa"/>
          </w:tcPr>
          <w:p w:rsidR="004E1D69" w:rsidRPr="004E1D69" w:rsidRDefault="004E1D69" w:rsidP="00CE20BC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E1D69">
              <w:rPr>
                <w:rFonts w:ascii="Times New Roman" w:eastAsia="Calibri" w:hAnsi="Times New Roman" w:cs="Times New Roman"/>
                <w:sz w:val="26"/>
                <w:szCs w:val="26"/>
              </w:rPr>
              <w:t>Данные проверки</w:t>
            </w:r>
          </w:p>
        </w:tc>
        <w:tc>
          <w:tcPr>
            <w:tcW w:w="2507" w:type="dxa"/>
          </w:tcPr>
          <w:p w:rsidR="004E1D69" w:rsidRPr="004E1D69" w:rsidRDefault="004E1D69" w:rsidP="00CE20BC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E1D69">
              <w:rPr>
                <w:rFonts w:ascii="Times New Roman" w:eastAsia="Calibri" w:hAnsi="Times New Roman" w:cs="Times New Roman"/>
                <w:sz w:val="26"/>
                <w:szCs w:val="26"/>
              </w:rPr>
              <w:t>Примечания</w:t>
            </w:r>
          </w:p>
        </w:tc>
      </w:tr>
      <w:tr w:rsidR="004E1D69" w:rsidRPr="004E1D69" w:rsidTr="004E1D69">
        <w:trPr>
          <w:jc w:val="center"/>
        </w:trPr>
        <w:tc>
          <w:tcPr>
            <w:tcW w:w="2367" w:type="dxa"/>
          </w:tcPr>
          <w:p w:rsidR="004E1D69" w:rsidRPr="004E1D69" w:rsidRDefault="004E1D69" w:rsidP="00CE20BC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E1D69">
              <w:rPr>
                <w:rFonts w:ascii="Times New Roman" w:eastAsia="Calibri" w:hAnsi="Times New Roman" w:cs="Times New Roman"/>
                <w:sz w:val="26"/>
                <w:szCs w:val="26"/>
              </w:rPr>
              <w:t>санитар</w:t>
            </w:r>
          </w:p>
        </w:tc>
        <w:tc>
          <w:tcPr>
            <w:tcW w:w="2769" w:type="dxa"/>
            <w:vAlign w:val="center"/>
          </w:tcPr>
          <w:p w:rsidR="004E1D69" w:rsidRPr="004E1D69" w:rsidRDefault="004E1D69" w:rsidP="00CE20BC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E1D69">
              <w:rPr>
                <w:rFonts w:ascii="Times New Roman" w:eastAsia="Calibri" w:hAnsi="Times New Roman" w:cs="Times New Roman"/>
                <w:sz w:val="26"/>
                <w:szCs w:val="26"/>
              </w:rPr>
              <w:t>164 922,57</w:t>
            </w:r>
          </w:p>
        </w:tc>
        <w:tc>
          <w:tcPr>
            <w:tcW w:w="1776" w:type="dxa"/>
            <w:vAlign w:val="center"/>
          </w:tcPr>
          <w:p w:rsidR="004E1D69" w:rsidRPr="004E1D69" w:rsidRDefault="004E1D69" w:rsidP="009E41BB">
            <w:pPr>
              <w:spacing w:line="276" w:lineRule="auto"/>
              <w:ind w:right="-1535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E1D69">
              <w:rPr>
                <w:rFonts w:ascii="Times New Roman" w:eastAsia="Calibri" w:hAnsi="Times New Roman" w:cs="Times New Roman"/>
                <w:sz w:val="26"/>
                <w:szCs w:val="26"/>
              </w:rPr>
              <w:t>68 105,68</w:t>
            </w:r>
          </w:p>
        </w:tc>
        <w:tc>
          <w:tcPr>
            <w:tcW w:w="2507" w:type="dxa"/>
            <w:vMerge w:val="restart"/>
          </w:tcPr>
          <w:p w:rsidR="004E1D69" w:rsidRDefault="004E1D69" w:rsidP="004E1D69">
            <w:pPr>
              <w:spacing w:line="276" w:lineRule="auto"/>
              <w:ind w:right="-1535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Необоснованное завение завышение среднего</w:t>
            </w:r>
          </w:p>
          <w:p w:rsidR="004E1D69" w:rsidRPr="004E1D69" w:rsidRDefault="004E1D69" w:rsidP="004E1D69">
            <w:pPr>
              <w:spacing w:line="276" w:lineRule="auto"/>
              <w:ind w:right="-1535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заработка</w:t>
            </w:r>
          </w:p>
        </w:tc>
      </w:tr>
      <w:tr w:rsidR="004E1D69" w:rsidRPr="004E1D69" w:rsidTr="004E1D69">
        <w:trPr>
          <w:jc w:val="center"/>
        </w:trPr>
        <w:tc>
          <w:tcPr>
            <w:tcW w:w="2367" w:type="dxa"/>
          </w:tcPr>
          <w:p w:rsidR="004E1D69" w:rsidRPr="004E1D69" w:rsidRDefault="004E1D69" w:rsidP="00CE20BC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E1D69">
              <w:rPr>
                <w:rFonts w:ascii="Times New Roman" w:eastAsia="Calibri" w:hAnsi="Times New Roman" w:cs="Times New Roman"/>
                <w:sz w:val="26"/>
                <w:szCs w:val="26"/>
              </w:rPr>
              <w:t>санитар</w:t>
            </w:r>
          </w:p>
        </w:tc>
        <w:tc>
          <w:tcPr>
            <w:tcW w:w="2769" w:type="dxa"/>
            <w:vAlign w:val="center"/>
          </w:tcPr>
          <w:p w:rsidR="004E1D69" w:rsidRPr="004E1D69" w:rsidRDefault="004E1D69" w:rsidP="00CE20BC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E1D69">
              <w:rPr>
                <w:rFonts w:ascii="Times New Roman" w:eastAsia="Calibri" w:hAnsi="Times New Roman" w:cs="Times New Roman"/>
                <w:sz w:val="26"/>
                <w:szCs w:val="26"/>
              </w:rPr>
              <w:t>132 182,49</w:t>
            </w:r>
          </w:p>
        </w:tc>
        <w:tc>
          <w:tcPr>
            <w:tcW w:w="1776" w:type="dxa"/>
            <w:vAlign w:val="center"/>
          </w:tcPr>
          <w:p w:rsidR="004E1D69" w:rsidRPr="004E1D69" w:rsidRDefault="004E1D69" w:rsidP="00CE20BC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E1D69">
              <w:rPr>
                <w:rFonts w:ascii="Times New Roman" w:eastAsia="Calibri" w:hAnsi="Times New Roman" w:cs="Times New Roman"/>
                <w:sz w:val="26"/>
                <w:szCs w:val="26"/>
              </w:rPr>
              <w:t>58 106,72</w:t>
            </w:r>
          </w:p>
        </w:tc>
        <w:tc>
          <w:tcPr>
            <w:tcW w:w="2507" w:type="dxa"/>
            <w:vMerge/>
          </w:tcPr>
          <w:p w:rsidR="004E1D69" w:rsidRPr="004E1D69" w:rsidRDefault="004E1D69" w:rsidP="00CE20BC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E1D69" w:rsidRPr="004E1D69" w:rsidTr="004E1D69">
        <w:trPr>
          <w:jc w:val="center"/>
        </w:trPr>
        <w:tc>
          <w:tcPr>
            <w:tcW w:w="2367" w:type="dxa"/>
          </w:tcPr>
          <w:p w:rsidR="004E1D69" w:rsidRPr="004E1D69" w:rsidRDefault="004E1D69" w:rsidP="00CE20BC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E1D69">
              <w:rPr>
                <w:rFonts w:ascii="Times New Roman" w:eastAsia="Calibri" w:hAnsi="Times New Roman" w:cs="Times New Roman"/>
                <w:sz w:val="26"/>
                <w:szCs w:val="26"/>
              </w:rPr>
              <w:t>санитар</w:t>
            </w:r>
          </w:p>
        </w:tc>
        <w:tc>
          <w:tcPr>
            <w:tcW w:w="2769" w:type="dxa"/>
            <w:vAlign w:val="center"/>
          </w:tcPr>
          <w:p w:rsidR="004E1D69" w:rsidRPr="004E1D69" w:rsidRDefault="004E1D69" w:rsidP="00CE20BC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E1D69">
              <w:rPr>
                <w:rFonts w:ascii="Times New Roman" w:eastAsia="Calibri" w:hAnsi="Times New Roman" w:cs="Times New Roman"/>
                <w:sz w:val="26"/>
                <w:szCs w:val="26"/>
              </w:rPr>
              <w:t>132 021,06</w:t>
            </w:r>
          </w:p>
        </w:tc>
        <w:tc>
          <w:tcPr>
            <w:tcW w:w="1776" w:type="dxa"/>
            <w:vAlign w:val="center"/>
          </w:tcPr>
          <w:p w:rsidR="004E1D69" w:rsidRPr="004E1D69" w:rsidRDefault="004E1D69" w:rsidP="00CE20BC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E1D69">
              <w:rPr>
                <w:rFonts w:ascii="Times New Roman" w:eastAsia="Calibri" w:hAnsi="Times New Roman" w:cs="Times New Roman"/>
                <w:sz w:val="26"/>
                <w:szCs w:val="26"/>
              </w:rPr>
              <w:t>69 583,53</w:t>
            </w:r>
          </w:p>
        </w:tc>
        <w:tc>
          <w:tcPr>
            <w:tcW w:w="2507" w:type="dxa"/>
            <w:vMerge/>
          </w:tcPr>
          <w:p w:rsidR="004E1D69" w:rsidRPr="004E1D69" w:rsidRDefault="004E1D69" w:rsidP="00CE20BC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590C53" w:rsidRPr="004E1D69" w:rsidRDefault="00590C53" w:rsidP="00CE20BC">
      <w:pPr>
        <w:spacing w:after="0" w:line="276" w:lineRule="auto"/>
        <w:ind w:firstLine="284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95B90" w:rsidRDefault="00295B90" w:rsidP="00295B90">
      <w:pPr>
        <w:spacing w:after="0" w:line="276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Самый высокий средний заработок младшего медицинского персонала по данным проверки составляет 69 583,53 руб., по сведениям ГБУЗ МОБ представленным губернатору Магаданской области С.К. Носову.   278 289,34 руб.</w:t>
      </w:r>
    </w:p>
    <w:p w:rsidR="00295B90" w:rsidRDefault="00295B90" w:rsidP="00EC42D9">
      <w:pPr>
        <w:pStyle w:val="a3"/>
        <w:spacing w:after="0" w:line="276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42D9" w:rsidRDefault="00EC42D9" w:rsidP="00EC42D9">
      <w:pPr>
        <w:pStyle w:val="a3"/>
        <w:spacing w:after="0" w:line="276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Сведения персонально по сотрудникам представлены в </w:t>
      </w:r>
      <w:r w:rsidR="00900005">
        <w:rPr>
          <w:rFonts w:ascii="Times New Roman" w:eastAsia="Calibri" w:hAnsi="Times New Roman" w:cs="Times New Roman"/>
          <w:sz w:val="28"/>
          <w:szCs w:val="28"/>
        </w:rPr>
        <w:t xml:space="preserve">сводных таблицах по начислению заработной платы согласно данных бухгалтерского учета по каждому сотруднику, </w:t>
      </w:r>
      <w:r w:rsidR="001A75F6">
        <w:rPr>
          <w:rFonts w:ascii="Times New Roman" w:eastAsia="Calibri" w:hAnsi="Times New Roman" w:cs="Times New Roman"/>
          <w:sz w:val="28"/>
          <w:szCs w:val="28"/>
        </w:rPr>
        <w:t xml:space="preserve">сравнении данных представленных ГБУЗ «Магаданская областная больница» и данных проверки ТФОМС Магаданской области в </w:t>
      </w:r>
      <w:r w:rsidR="00900005">
        <w:rPr>
          <w:rFonts w:ascii="Times New Roman" w:eastAsia="Calibri" w:hAnsi="Times New Roman" w:cs="Times New Roman"/>
          <w:sz w:val="28"/>
          <w:szCs w:val="28"/>
        </w:rPr>
        <w:t>сводной таблице, являющимися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неотъемлемой частью акта.</w:t>
      </w:r>
    </w:p>
    <w:p w:rsidR="00295B90" w:rsidRDefault="00083582" w:rsidP="00EC42D9">
      <w:pPr>
        <w:pStyle w:val="a3"/>
        <w:spacing w:after="0" w:line="276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 основании изложенного,</w:t>
      </w:r>
      <w:r w:rsidR="00C56F1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295B90">
        <w:rPr>
          <w:rFonts w:ascii="Times New Roman" w:eastAsia="Calibri" w:hAnsi="Times New Roman" w:cs="Times New Roman"/>
          <w:sz w:val="28"/>
          <w:szCs w:val="28"/>
        </w:rPr>
        <w:t>о итогам проверок, проведенных в отношении ГБУЗ «Магаданская областная больница» установлено:</w:t>
      </w:r>
    </w:p>
    <w:p w:rsidR="00083582" w:rsidRDefault="00083582" w:rsidP="00083582">
      <w:pPr>
        <w:pStyle w:val="a3"/>
        <w:numPr>
          <w:ilvl w:val="0"/>
          <w:numId w:val="6"/>
        </w:numPr>
        <w:spacing w:after="0" w:line="276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Структура заработной платы сотрудников ГБУЗ «Магаданская областная больница» не соответствует требованиям Единых рекомендаций</w:t>
      </w:r>
      <w:r w:rsidRPr="00083582">
        <w:rPr>
          <w:rFonts w:ascii="Times New Roman" w:eastAsia="Calibri" w:hAnsi="Times New Roman" w:cs="Times New Roman"/>
          <w:sz w:val="28"/>
          <w:szCs w:val="28"/>
        </w:rPr>
        <w:t xml:space="preserve"> по установлению систем оплаты труда работников государственных и муниципальных учреждений на 2019 год, утвержденных Российской трехсторонней комиссией по регулированию социально-трудовых отношений 25.12.2018г.</w:t>
      </w:r>
    </w:p>
    <w:p w:rsidR="00295B90" w:rsidRDefault="00295B90" w:rsidP="00295B90">
      <w:pPr>
        <w:pStyle w:val="a3"/>
        <w:numPr>
          <w:ilvl w:val="0"/>
          <w:numId w:val="6"/>
        </w:numPr>
        <w:spacing w:after="0" w:line="276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295B90">
        <w:rPr>
          <w:rFonts w:ascii="Times New Roman" w:eastAsia="Calibri" w:hAnsi="Times New Roman" w:cs="Times New Roman"/>
          <w:sz w:val="28"/>
          <w:szCs w:val="28"/>
        </w:rPr>
        <w:t xml:space="preserve">ремия, согласно Положения о премировании ГБУЗ «Магаданская областная больница», начисляется на месяц позже, </w:t>
      </w:r>
      <w:r w:rsidR="00E546C5">
        <w:rPr>
          <w:rFonts w:ascii="Times New Roman" w:eastAsia="Calibri" w:hAnsi="Times New Roman" w:cs="Times New Roman"/>
          <w:sz w:val="28"/>
          <w:szCs w:val="28"/>
        </w:rPr>
        <w:t>Положением не предусмотрен учет фактически отработанного</w:t>
      </w:r>
      <w:r w:rsidRPr="00295B90">
        <w:rPr>
          <w:rFonts w:ascii="Times New Roman" w:eastAsia="Calibri" w:hAnsi="Times New Roman" w:cs="Times New Roman"/>
          <w:sz w:val="28"/>
          <w:szCs w:val="28"/>
        </w:rPr>
        <w:t xml:space="preserve"> сотрудником</w:t>
      </w:r>
      <w:r w:rsidR="00E546C5">
        <w:rPr>
          <w:rFonts w:ascii="Times New Roman" w:eastAsia="Calibri" w:hAnsi="Times New Roman" w:cs="Times New Roman"/>
          <w:sz w:val="28"/>
          <w:szCs w:val="28"/>
        </w:rPr>
        <w:t xml:space="preserve"> времени</w:t>
      </w:r>
      <w:r w:rsidRPr="00295B90">
        <w:rPr>
          <w:rFonts w:ascii="Times New Roman" w:eastAsia="Calibri" w:hAnsi="Times New Roman" w:cs="Times New Roman"/>
          <w:sz w:val="28"/>
          <w:szCs w:val="28"/>
        </w:rPr>
        <w:t>, что не позволяет объективно оценить степень стимулирование его труда. Имеет место начисление одинакового размера премии у сотрудников, отработавших разное количество рабочих дней.</w:t>
      </w:r>
    </w:p>
    <w:p w:rsidR="00295B90" w:rsidRPr="00295B90" w:rsidRDefault="00295B90" w:rsidP="00295B90">
      <w:pPr>
        <w:pStyle w:val="a3"/>
        <w:numPr>
          <w:ilvl w:val="0"/>
          <w:numId w:val="6"/>
        </w:numPr>
        <w:spacing w:after="0" w:line="276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295B90">
        <w:rPr>
          <w:rFonts w:ascii="Times New Roman" w:eastAsia="Calibri" w:hAnsi="Times New Roman" w:cs="Times New Roman"/>
          <w:sz w:val="28"/>
          <w:szCs w:val="28"/>
        </w:rPr>
        <w:t>нарушение пункта 1.7 Постановления правительства Магаданской области от 27.06.2014 № 535-пп «Об утверждении примерного положения об оплате труда работников областных государственных учреждений, подведомственных министерству здравоохранения и демографической политики Магаданской области» в части дифференциации окладов- установлены разные оклады в одной квалификационной категории.</w:t>
      </w:r>
    </w:p>
    <w:p w:rsidR="00295B90" w:rsidRDefault="00083582" w:rsidP="00083582">
      <w:pPr>
        <w:pStyle w:val="a3"/>
        <w:numPr>
          <w:ilvl w:val="0"/>
          <w:numId w:val="6"/>
        </w:numPr>
        <w:spacing w:after="0" w:line="276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083582">
        <w:rPr>
          <w:rFonts w:ascii="Times New Roman" w:eastAsia="Calibri" w:hAnsi="Times New Roman" w:cs="Times New Roman"/>
          <w:sz w:val="28"/>
          <w:szCs w:val="28"/>
        </w:rPr>
        <w:t>нформация по среднемесячной заработной плате сотрудников ГБУЗ «Магаданская областная больница», представленная губернатору Магаданской области С.К. Носову, в министерство здравоохранения и демографической политики Магаданской области, недостоверна, не соответствует данным проверки.</w:t>
      </w:r>
    </w:p>
    <w:p w:rsidR="00083582" w:rsidRDefault="00F01089" w:rsidP="00F01089">
      <w:pPr>
        <w:pStyle w:val="a3"/>
        <w:spacing w:after="0" w:line="276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итогам проверок ТФОМС Магаданской области, проведенных ранее в 2019 году нарушения не устранены.</w:t>
      </w:r>
    </w:p>
    <w:p w:rsidR="00F01089" w:rsidRDefault="00F01089" w:rsidP="00F01089">
      <w:pPr>
        <w:pStyle w:val="a3"/>
        <w:spacing w:after="0" w:line="276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Рекомендуется:</w:t>
      </w:r>
    </w:p>
    <w:p w:rsidR="00F01089" w:rsidRDefault="00F01089" w:rsidP="00F01089">
      <w:pPr>
        <w:pStyle w:val="a3"/>
        <w:numPr>
          <w:ilvl w:val="0"/>
          <w:numId w:val="7"/>
        </w:numPr>
        <w:spacing w:after="0" w:line="276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Внести изменения в Положение по оплате труда, в части структуры заработной платы, дифференциации окладов по одной квалификационной категории. </w:t>
      </w:r>
    </w:p>
    <w:p w:rsidR="00F01089" w:rsidRDefault="00F01089" w:rsidP="00F01089">
      <w:pPr>
        <w:pStyle w:val="a3"/>
        <w:numPr>
          <w:ilvl w:val="0"/>
          <w:numId w:val="7"/>
        </w:numPr>
        <w:spacing w:after="0" w:line="276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Внести изменение в Положение о премировании, в том числе в части учета фактически отработанного времени сотрудником. </w:t>
      </w:r>
    </w:p>
    <w:p w:rsidR="00295B90" w:rsidRDefault="00295B90" w:rsidP="00083582">
      <w:pPr>
        <w:pStyle w:val="a3"/>
        <w:spacing w:after="0" w:line="276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045E" w:rsidRDefault="003008F1" w:rsidP="00EC42D9">
      <w:pPr>
        <w:pStyle w:val="a3"/>
        <w:spacing w:after="0" w:line="276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Приложение: информация о среднемесячной заработной плате ГБУЗ «Магаданская областная больница», представленной в министерство здравоохранения и демографической политики Магаданской области.</w:t>
      </w:r>
    </w:p>
    <w:p w:rsidR="0026045E" w:rsidRDefault="0026045E" w:rsidP="00EC42D9">
      <w:pPr>
        <w:pStyle w:val="a3"/>
        <w:spacing w:after="0" w:line="276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00005" w:rsidRDefault="003008F1" w:rsidP="00EC42D9">
      <w:pPr>
        <w:pStyle w:val="a3"/>
        <w:spacing w:after="0" w:line="276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E1B47" w:rsidRPr="00DE5863" w:rsidRDefault="008E1B47" w:rsidP="008E1B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E1B47" w:rsidRPr="00945EDD" w:rsidRDefault="008E1B47" w:rsidP="008E1B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sectPr w:rsidR="008E1B47" w:rsidRPr="00945ED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620" w:rsidRDefault="004A4620" w:rsidP="00F73F59">
      <w:pPr>
        <w:spacing w:after="0" w:line="240" w:lineRule="auto"/>
      </w:pPr>
      <w:r>
        <w:separator/>
      </w:r>
    </w:p>
  </w:endnote>
  <w:endnote w:type="continuationSeparator" w:id="0">
    <w:p w:rsidR="004A4620" w:rsidRDefault="004A4620" w:rsidP="00F73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6859885"/>
      <w:docPartObj>
        <w:docPartGallery w:val="Page Numbers (Bottom of Page)"/>
        <w:docPartUnique/>
      </w:docPartObj>
    </w:sdtPr>
    <w:sdtEndPr/>
    <w:sdtContent>
      <w:p w:rsidR="000A0B34" w:rsidRDefault="000A0B34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084D">
          <w:rPr>
            <w:noProof/>
          </w:rPr>
          <w:t>1</w:t>
        </w:r>
        <w:r>
          <w:fldChar w:fldCharType="end"/>
        </w:r>
      </w:p>
    </w:sdtContent>
  </w:sdt>
  <w:p w:rsidR="005A3AC0" w:rsidRDefault="005A3AC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620" w:rsidRDefault="004A4620" w:rsidP="00F73F59">
      <w:pPr>
        <w:spacing w:after="0" w:line="240" w:lineRule="auto"/>
      </w:pPr>
      <w:r>
        <w:separator/>
      </w:r>
    </w:p>
  </w:footnote>
  <w:footnote w:type="continuationSeparator" w:id="0">
    <w:p w:rsidR="004A4620" w:rsidRDefault="004A4620" w:rsidP="00F73F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56C4A"/>
    <w:multiLevelType w:val="hybridMultilevel"/>
    <w:tmpl w:val="5FA47636"/>
    <w:lvl w:ilvl="0" w:tplc="CA7A3FF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5B56E5E"/>
    <w:multiLevelType w:val="hybridMultilevel"/>
    <w:tmpl w:val="E77AB944"/>
    <w:lvl w:ilvl="0" w:tplc="101C512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7D812AC"/>
    <w:multiLevelType w:val="hybridMultilevel"/>
    <w:tmpl w:val="8FEA6B6A"/>
    <w:lvl w:ilvl="0" w:tplc="45B4804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CF4752D"/>
    <w:multiLevelType w:val="hybridMultilevel"/>
    <w:tmpl w:val="0E10E89C"/>
    <w:lvl w:ilvl="0" w:tplc="85024636">
      <w:start w:val="1"/>
      <w:numFmt w:val="decimal"/>
      <w:lvlText w:val="%1."/>
      <w:lvlJc w:val="left"/>
      <w:pPr>
        <w:ind w:left="927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3F04134"/>
    <w:multiLevelType w:val="hybridMultilevel"/>
    <w:tmpl w:val="CFAEF5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83201"/>
    <w:multiLevelType w:val="hybridMultilevel"/>
    <w:tmpl w:val="ACA26480"/>
    <w:lvl w:ilvl="0" w:tplc="5784B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A5C7C9E"/>
    <w:multiLevelType w:val="hybridMultilevel"/>
    <w:tmpl w:val="263AE5BA"/>
    <w:lvl w:ilvl="0" w:tplc="0C5A55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AA8"/>
    <w:rsid w:val="00001B94"/>
    <w:rsid w:val="0000396B"/>
    <w:rsid w:val="00005FAB"/>
    <w:rsid w:val="0001022E"/>
    <w:rsid w:val="000108E3"/>
    <w:rsid w:val="00012205"/>
    <w:rsid w:val="000138D6"/>
    <w:rsid w:val="00015254"/>
    <w:rsid w:val="00042739"/>
    <w:rsid w:val="00046B1D"/>
    <w:rsid w:val="00057084"/>
    <w:rsid w:val="00057667"/>
    <w:rsid w:val="00070ED6"/>
    <w:rsid w:val="00083582"/>
    <w:rsid w:val="0008641F"/>
    <w:rsid w:val="00086842"/>
    <w:rsid w:val="000A0B34"/>
    <w:rsid w:val="000A70B5"/>
    <w:rsid w:val="000B250F"/>
    <w:rsid w:val="000D0FD1"/>
    <w:rsid w:val="000D3F9A"/>
    <w:rsid w:val="000D5C5B"/>
    <w:rsid w:val="000F177B"/>
    <w:rsid w:val="00101598"/>
    <w:rsid w:val="00105A19"/>
    <w:rsid w:val="00122E53"/>
    <w:rsid w:val="0014213B"/>
    <w:rsid w:val="00144B8D"/>
    <w:rsid w:val="001507D9"/>
    <w:rsid w:val="001A6214"/>
    <w:rsid w:val="001A73CF"/>
    <w:rsid w:val="001A75F6"/>
    <w:rsid w:val="001B4381"/>
    <w:rsid w:val="001C0912"/>
    <w:rsid w:val="001C7D3E"/>
    <w:rsid w:val="001D7FE7"/>
    <w:rsid w:val="001E2649"/>
    <w:rsid w:val="001E4507"/>
    <w:rsid w:val="001F3E38"/>
    <w:rsid w:val="001F3F90"/>
    <w:rsid w:val="00207F8F"/>
    <w:rsid w:val="00210044"/>
    <w:rsid w:val="00225DBB"/>
    <w:rsid w:val="00232154"/>
    <w:rsid w:val="0025302A"/>
    <w:rsid w:val="0025589A"/>
    <w:rsid w:val="0026045E"/>
    <w:rsid w:val="0026248C"/>
    <w:rsid w:val="002648B9"/>
    <w:rsid w:val="00270E95"/>
    <w:rsid w:val="00282893"/>
    <w:rsid w:val="00286FA4"/>
    <w:rsid w:val="00287103"/>
    <w:rsid w:val="00295B90"/>
    <w:rsid w:val="002B0402"/>
    <w:rsid w:val="002B2032"/>
    <w:rsid w:val="002D20E3"/>
    <w:rsid w:val="002D4BC3"/>
    <w:rsid w:val="002F0EB2"/>
    <w:rsid w:val="003008F1"/>
    <w:rsid w:val="003046FB"/>
    <w:rsid w:val="00306D47"/>
    <w:rsid w:val="003229C2"/>
    <w:rsid w:val="00323813"/>
    <w:rsid w:val="0034702F"/>
    <w:rsid w:val="003730AC"/>
    <w:rsid w:val="003C5A3B"/>
    <w:rsid w:val="003C68A2"/>
    <w:rsid w:val="003D38D4"/>
    <w:rsid w:val="00414162"/>
    <w:rsid w:val="004357CE"/>
    <w:rsid w:val="004473E1"/>
    <w:rsid w:val="00477436"/>
    <w:rsid w:val="004A4620"/>
    <w:rsid w:val="004B74E2"/>
    <w:rsid w:val="004C4C4D"/>
    <w:rsid w:val="004E1D69"/>
    <w:rsid w:val="004E26DE"/>
    <w:rsid w:val="00507B1D"/>
    <w:rsid w:val="00510984"/>
    <w:rsid w:val="0052290D"/>
    <w:rsid w:val="0052620A"/>
    <w:rsid w:val="00527906"/>
    <w:rsid w:val="00546B3F"/>
    <w:rsid w:val="00550C3C"/>
    <w:rsid w:val="00560A16"/>
    <w:rsid w:val="005762E4"/>
    <w:rsid w:val="00590270"/>
    <w:rsid w:val="00590C53"/>
    <w:rsid w:val="005A3AC0"/>
    <w:rsid w:val="005C3BA6"/>
    <w:rsid w:val="005D0CAC"/>
    <w:rsid w:val="005E4FBB"/>
    <w:rsid w:val="006176E8"/>
    <w:rsid w:val="0067142B"/>
    <w:rsid w:val="00676267"/>
    <w:rsid w:val="00684C3D"/>
    <w:rsid w:val="00696E4F"/>
    <w:rsid w:val="006A4C28"/>
    <w:rsid w:val="006A7665"/>
    <w:rsid w:val="006B15DC"/>
    <w:rsid w:val="006B393C"/>
    <w:rsid w:val="006C477E"/>
    <w:rsid w:val="006D04F9"/>
    <w:rsid w:val="006D7511"/>
    <w:rsid w:val="006E61F0"/>
    <w:rsid w:val="006E723C"/>
    <w:rsid w:val="00700BA3"/>
    <w:rsid w:val="00706C8A"/>
    <w:rsid w:val="0070739C"/>
    <w:rsid w:val="00711A29"/>
    <w:rsid w:val="00715410"/>
    <w:rsid w:val="00716739"/>
    <w:rsid w:val="007218F9"/>
    <w:rsid w:val="00722C4B"/>
    <w:rsid w:val="00724232"/>
    <w:rsid w:val="00725F7E"/>
    <w:rsid w:val="00736158"/>
    <w:rsid w:val="00736E51"/>
    <w:rsid w:val="00741ECA"/>
    <w:rsid w:val="0074406A"/>
    <w:rsid w:val="007563E7"/>
    <w:rsid w:val="00756A1C"/>
    <w:rsid w:val="00767844"/>
    <w:rsid w:val="00767951"/>
    <w:rsid w:val="007A43FB"/>
    <w:rsid w:val="007A5AC1"/>
    <w:rsid w:val="007B327F"/>
    <w:rsid w:val="007E21A6"/>
    <w:rsid w:val="007F00DB"/>
    <w:rsid w:val="008076B7"/>
    <w:rsid w:val="00816391"/>
    <w:rsid w:val="00834BF2"/>
    <w:rsid w:val="00834C98"/>
    <w:rsid w:val="0083703E"/>
    <w:rsid w:val="0084048E"/>
    <w:rsid w:val="00861BC5"/>
    <w:rsid w:val="00861D66"/>
    <w:rsid w:val="00864AE5"/>
    <w:rsid w:val="008661AE"/>
    <w:rsid w:val="008805AC"/>
    <w:rsid w:val="00884EBA"/>
    <w:rsid w:val="00897736"/>
    <w:rsid w:val="008B4D57"/>
    <w:rsid w:val="008E1B47"/>
    <w:rsid w:val="008F0F24"/>
    <w:rsid w:val="008F2863"/>
    <w:rsid w:val="008F3FB8"/>
    <w:rsid w:val="00900005"/>
    <w:rsid w:val="0090764C"/>
    <w:rsid w:val="00911CBB"/>
    <w:rsid w:val="00920B94"/>
    <w:rsid w:val="00927F2F"/>
    <w:rsid w:val="00932D15"/>
    <w:rsid w:val="009364D3"/>
    <w:rsid w:val="009405C6"/>
    <w:rsid w:val="00945EDD"/>
    <w:rsid w:val="00972125"/>
    <w:rsid w:val="00980FD3"/>
    <w:rsid w:val="009870E8"/>
    <w:rsid w:val="00987482"/>
    <w:rsid w:val="0099738A"/>
    <w:rsid w:val="009A09E8"/>
    <w:rsid w:val="009B5307"/>
    <w:rsid w:val="009C5B97"/>
    <w:rsid w:val="009E37DB"/>
    <w:rsid w:val="009E41BB"/>
    <w:rsid w:val="009E6B21"/>
    <w:rsid w:val="009F2595"/>
    <w:rsid w:val="00A003A7"/>
    <w:rsid w:val="00A17C86"/>
    <w:rsid w:val="00A21D81"/>
    <w:rsid w:val="00A221DC"/>
    <w:rsid w:val="00A35558"/>
    <w:rsid w:val="00A732FF"/>
    <w:rsid w:val="00A742B9"/>
    <w:rsid w:val="00A7493C"/>
    <w:rsid w:val="00A7594E"/>
    <w:rsid w:val="00A81A1F"/>
    <w:rsid w:val="00A83524"/>
    <w:rsid w:val="00A9538F"/>
    <w:rsid w:val="00A96D92"/>
    <w:rsid w:val="00AA7FA1"/>
    <w:rsid w:val="00AC6F9B"/>
    <w:rsid w:val="00AE1C62"/>
    <w:rsid w:val="00AE6B40"/>
    <w:rsid w:val="00B03CEA"/>
    <w:rsid w:val="00B113E5"/>
    <w:rsid w:val="00B21596"/>
    <w:rsid w:val="00B21697"/>
    <w:rsid w:val="00B40D61"/>
    <w:rsid w:val="00B517B5"/>
    <w:rsid w:val="00B83548"/>
    <w:rsid w:val="00BA51D0"/>
    <w:rsid w:val="00BB73F9"/>
    <w:rsid w:val="00BC54F3"/>
    <w:rsid w:val="00BF7CA7"/>
    <w:rsid w:val="00C007C0"/>
    <w:rsid w:val="00C04C5B"/>
    <w:rsid w:val="00C179AC"/>
    <w:rsid w:val="00C204C0"/>
    <w:rsid w:val="00C2084D"/>
    <w:rsid w:val="00C47D32"/>
    <w:rsid w:val="00C5457B"/>
    <w:rsid w:val="00C56F12"/>
    <w:rsid w:val="00C633AC"/>
    <w:rsid w:val="00C65F30"/>
    <w:rsid w:val="00C75428"/>
    <w:rsid w:val="00C81DCA"/>
    <w:rsid w:val="00C824DC"/>
    <w:rsid w:val="00C82514"/>
    <w:rsid w:val="00C976F4"/>
    <w:rsid w:val="00CA3C85"/>
    <w:rsid w:val="00CB0708"/>
    <w:rsid w:val="00CB698A"/>
    <w:rsid w:val="00CD1C14"/>
    <w:rsid w:val="00CE20BC"/>
    <w:rsid w:val="00D01C02"/>
    <w:rsid w:val="00D12EF3"/>
    <w:rsid w:val="00D137FF"/>
    <w:rsid w:val="00D469D9"/>
    <w:rsid w:val="00D47C3A"/>
    <w:rsid w:val="00D56253"/>
    <w:rsid w:val="00D616A4"/>
    <w:rsid w:val="00D61C0C"/>
    <w:rsid w:val="00D93D00"/>
    <w:rsid w:val="00DB1D58"/>
    <w:rsid w:val="00DD7E35"/>
    <w:rsid w:val="00DE5863"/>
    <w:rsid w:val="00E00225"/>
    <w:rsid w:val="00E01A77"/>
    <w:rsid w:val="00E0740C"/>
    <w:rsid w:val="00E26D8E"/>
    <w:rsid w:val="00E34315"/>
    <w:rsid w:val="00E546C5"/>
    <w:rsid w:val="00E64658"/>
    <w:rsid w:val="00EA46ED"/>
    <w:rsid w:val="00EA6A74"/>
    <w:rsid w:val="00EC1774"/>
    <w:rsid w:val="00EC42D9"/>
    <w:rsid w:val="00ED4851"/>
    <w:rsid w:val="00ED7AA8"/>
    <w:rsid w:val="00EE0F91"/>
    <w:rsid w:val="00EF2140"/>
    <w:rsid w:val="00EF749B"/>
    <w:rsid w:val="00F01089"/>
    <w:rsid w:val="00F03659"/>
    <w:rsid w:val="00F03D48"/>
    <w:rsid w:val="00F0441A"/>
    <w:rsid w:val="00F1069E"/>
    <w:rsid w:val="00F11F08"/>
    <w:rsid w:val="00F30159"/>
    <w:rsid w:val="00F310ED"/>
    <w:rsid w:val="00F42E0A"/>
    <w:rsid w:val="00F50AB8"/>
    <w:rsid w:val="00F63C86"/>
    <w:rsid w:val="00F670BC"/>
    <w:rsid w:val="00F67FB7"/>
    <w:rsid w:val="00F73F59"/>
    <w:rsid w:val="00F84DBC"/>
    <w:rsid w:val="00F9579B"/>
    <w:rsid w:val="00FC458C"/>
    <w:rsid w:val="00FD0689"/>
    <w:rsid w:val="00FD54A8"/>
    <w:rsid w:val="00FD607A"/>
    <w:rsid w:val="00FD6C8D"/>
    <w:rsid w:val="00FE0C38"/>
    <w:rsid w:val="00FE4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917BE4"/>
  <w15:docId w15:val="{5AA57620-5AE4-4A04-A2F0-12145949D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7084"/>
    <w:pPr>
      <w:ind w:left="720"/>
      <w:contextualSpacing/>
    </w:pPr>
  </w:style>
  <w:style w:type="paragraph" w:customStyle="1" w:styleId="a4">
    <w:name w:val="Знак Знак Знак"/>
    <w:basedOn w:val="a"/>
    <w:rsid w:val="0034702F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A21D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21D81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EA6A74"/>
    <w:rPr>
      <w:color w:val="0563C1" w:themeColor="hyperlink"/>
      <w:u w:val="single"/>
    </w:rPr>
  </w:style>
  <w:style w:type="table" w:styleId="a8">
    <w:name w:val="Table Grid"/>
    <w:basedOn w:val="a1"/>
    <w:uiPriority w:val="59"/>
    <w:rsid w:val="008E1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73F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73F59"/>
  </w:style>
  <w:style w:type="paragraph" w:styleId="ab">
    <w:name w:val="footer"/>
    <w:basedOn w:val="a"/>
    <w:link w:val="ac"/>
    <w:uiPriority w:val="99"/>
    <w:unhideWhenUsed/>
    <w:rsid w:val="00F73F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73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3335</TotalTime>
  <Pages>7</Pages>
  <Words>1858</Words>
  <Characters>10594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Магаданской области</Company>
  <LinksUpToDate>false</LinksUpToDate>
  <CharactersWithSpaces>12428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bazhan</dc:creator>
  <cp:lastModifiedBy>bazhan@dom.tfoms.magadan.ru</cp:lastModifiedBy>
  <cp:revision>124</cp:revision>
  <cp:lastPrinted>2019-12-27T01:11:00Z</cp:lastPrinted>
  <dcterms:created xsi:type="dcterms:W3CDTF">2019-06-10T06:38:00Z</dcterms:created>
  <dcterms:modified xsi:type="dcterms:W3CDTF">2020-01-30T00:25:00Z</dcterms:modified>
</cp:coreProperties>
</file>